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3D8C" w:rsidRDefault="00D43D8C">
      <w:pPr>
        <w:pStyle w:val="ConsPlusTitlePage"/>
      </w:pPr>
      <w:r>
        <w:t xml:space="preserve">Документ предоставлен </w:t>
      </w:r>
      <w:hyperlink r:id="rId4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D43D8C" w:rsidRDefault="00D43D8C">
      <w:pPr>
        <w:pStyle w:val="ConsPlusNormal"/>
        <w:ind w:firstLine="540"/>
        <w:jc w:val="both"/>
        <w:outlineLvl w:val="0"/>
      </w:pPr>
    </w:p>
    <w:p w:rsidR="00D43D8C" w:rsidRDefault="00D43D8C">
      <w:pPr>
        <w:pStyle w:val="ConsPlusNormal"/>
        <w:outlineLvl w:val="0"/>
      </w:pPr>
      <w:r>
        <w:t>Зарегистрировано в Минюсте России 1 июля 2022 г. N 69108</w:t>
      </w:r>
    </w:p>
    <w:p w:rsidR="00D43D8C" w:rsidRDefault="00D43D8C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Title"/>
        <w:jc w:val="center"/>
      </w:pPr>
      <w:r>
        <w:t>МИНИСТЕРСТВО ПРОСВЕЩЕНИЯ РОССИЙСКОЙ ФЕДЕРАЦИИ</w:t>
      </w:r>
    </w:p>
    <w:p w:rsidR="00D43D8C" w:rsidRDefault="00D43D8C">
      <w:pPr>
        <w:pStyle w:val="ConsPlusTitle"/>
        <w:jc w:val="center"/>
      </w:pPr>
    </w:p>
    <w:p w:rsidR="00D43D8C" w:rsidRDefault="00D43D8C">
      <w:pPr>
        <w:pStyle w:val="ConsPlusTitle"/>
        <w:jc w:val="center"/>
      </w:pPr>
      <w:r>
        <w:t>ПРИКАЗ</w:t>
      </w:r>
    </w:p>
    <w:p w:rsidR="00D43D8C" w:rsidRDefault="00D43D8C">
      <w:pPr>
        <w:pStyle w:val="ConsPlusTitle"/>
        <w:jc w:val="center"/>
      </w:pPr>
      <w:r>
        <w:t>от 2 июня 2022 г. N 392</w:t>
      </w:r>
    </w:p>
    <w:p w:rsidR="00D43D8C" w:rsidRDefault="00D43D8C">
      <w:pPr>
        <w:pStyle w:val="ConsPlusTitle"/>
        <w:jc w:val="center"/>
      </w:pPr>
    </w:p>
    <w:p w:rsidR="00D43D8C" w:rsidRDefault="00D43D8C">
      <w:pPr>
        <w:pStyle w:val="ConsPlusTitle"/>
        <w:jc w:val="center"/>
      </w:pPr>
      <w:r>
        <w:t>ОБ УТВЕРЖДЕНИИ</w:t>
      </w:r>
    </w:p>
    <w:p w:rsidR="00D43D8C" w:rsidRDefault="00D43D8C">
      <w:pPr>
        <w:pStyle w:val="ConsPlusTitle"/>
        <w:jc w:val="center"/>
      </w:pPr>
      <w:r>
        <w:t>ФЕДЕРАЛЬНОГО ГОСУДАРСТВЕННОГО ОБРАЗОВАТЕЛЬНОГО СТАНДАРТА</w:t>
      </w:r>
    </w:p>
    <w:p w:rsidR="00D43D8C" w:rsidRDefault="00D43D8C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D43D8C" w:rsidRDefault="00D43D8C">
      <w:pPr>
        <w:pStyle w:val="ConsPlusTitle"/>
        <w:jc w:val="center"/>
      </w:pPr>
      <w:r>
        <w:t>11.02.17 РАЗРАБОТКА ЭЛЕКТРОННЫХ УСТРОЙСТВ И СИСТЕМ</w:t>
      </w:r>
    </w:p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Normal"/>
        <w:ind w:firstLine="540"/>
        <w:jc w:val="both"/>
      </w:pPr>
      <w:r>
        <w:t xml:space="preserve">В соответствии с </w:t>
      </w:r>
      <w:hyperlink r:id="rId5">
        <w:r>
          <w:rPr>
            <w:color w:val="0000FF"/>
          </w:rPr>
          <w:t>подпунктом 4.2.30 пункта 4</w:t>
        </w:r>
      </w:hyperlink>
      <w: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 (Собрание законодательства Российской Федерации, 2018, N 32, ст. 5343), и </w:t>
      </w:r>
      <w:hyperlink r:id="rId6">
        <w:r>
          <w:rPr>
            <w:color w:val="0000FF"/>
          </w:rPr>
          <w:t>пунктом 27</w:t>
        </w:r>
      </w:hyperlink>
      <w: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12 апреля 2019 г. N 434 (Собрание законодательства Российской Федерации, 2019, N 16, ст. 1942), приказываю: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 xml:space="preserve">1. Утвердить прилагаемый федеральный государственный образовательный </w:t>
      </w:r>
      <w:hyperlink w:anchor="P34">
        <w:r>
          <w:rPr>
            <w:color w:val="0000FF"/>
          </w:rPr>
          <w:t>стандарт</w:t>
        </w:r>
      </w:hyperlink>
      <w:r>
        <w:t xml:space="preserve"> среднего профессионального образования по специальности 11.02.17 Разработка электронных устройств и систем (далее - стандарт).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2. Установить, что: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 xml:space="preserve">образовательная организация вправе осуществлять в соответствии со </w:t>
      </w:r>
      <w:hyperlink w:anchor="P34">
        <w:r>
          <w:rPr>
            <w:color w:val="0000FF"/>
          </w:rPr>
          <w:t>стандартом</w:t>
        </w:r>
      </w:hyperlink>
      <w:r>
        <w:t xml:space="preserve"> обучение лиц, зачисленных до вступления в силу настоящего приказа, с их согласия;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 xml:space="preserve">прием на обучение в соответствии с федеральным государственным образовательным </w:t>
      </w:r>
      <w:hyperlink r:id="rId7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специальности </w:t>
      </w:r>
      <w:hyperlink r:id="rId8">
        <w:r>
          <w:rPr>
            <w:color w:val="0000FF"/>
          </w:rPr>
          <w:t>11.02.01</w:t>
        </w:r>
      </w:hyperlink>
      <w:r>
        <w:t xml:space="preserve"> Радиоаппаратостроение, утвержденным приказом Министерства образования и науки Российской Федерации от 14 мая 2014 г. N 521 (зарегистрирован Министерством юстиции Российской Федерации 29 июля 2014 г., регистрационный N 33322), с изменениями, внесенными приказом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65410), федеральным государственным образовательным </w:t>
      </w:r>
      <w:hyperlink r:id="rId9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специальности </w:t>
      </w:r>
      <w:hyperlink r:id="rId10">
        <w:r>
          <w:rPr>
            <w:color w:val="0000FF"/>
          </w:rPr>
          <w:t>11.02.02</w:t>
        </w:r>
      </w:hyperlink>
      <w:r>
        <w:t xml:space="preserve"> Техническое обслуживание и ремонт радиоэлектронной техники (по отраслям), утвержденным приказом Министерства образования и науки Российской Федерации от 15 мая 2014 г. N 541 (зарегистрирован Министерством юстиции Российской Федерации 26 июня 2014 г., регистрационный N 32870), с изменениями, внесенными приказом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65410), и федеральным государственным образовательным </w:t>
      </w:r>
      <w:hyperlink r:id="rId11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специальности </w:t>
      </w:r>
      <w:hyperlink r:id="rId12">
        <w:r>
          <w:rPr>
            <w:color w:val="0000FF"/>
          </w:rPr>
          <w:t>11.02.05</w:t>
        </w:r>
      </w:hyperlink>
      <w:r>
        <w:t xml:space="preserve"> Аудиовизуальная техника, утвержденным приказом Министерства образования и науки Российской Федерации от 28 июля 2014 г. N 807 (зарегистрирован Министерством юстиции Российской Федерации 21 августа 2014 г., регистрационный N 33747), с изменениями, внесенными приказом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65410), прекращается 31 декабря 2022 г., а при реализации образовательной организацией образовательной программы по </w:t>
      </w:r>
      <w:r>
        <w:lastRenderedPageBreak/>
        <w:t xml:space="preserve">специальности </w:t>
      </w:r>
      <w:hyperlink r:id="rId13">
        <w:r>
          <w:rPr>
            <w:color w:val="0000FF"/>
          </w:rPr>
          <w:t>11.02.17</w:t>
        </w:r>
      </w:hyperlink>
      <w:r>
        <w:t xml:space="preserve"> Разработка электронных устройств и систем в условиях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проводимого в соответствии с </w:t>
      </w:r>
      <w:hyperlink r:id="rId14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16 марта 2022 г. N 387 (Собрание законодательства Российской Федерации, 2022, N 12, ст. 1871), - с 1 августа 2022 года.</w:t>
      </w:r>
    </w:p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Normal"/>
        <w:jc w:val="right"/>
      </w:pPr>
      <w:r>
        <w:t>Министр</w:t>
      </w:r>
    </w:p>
    <w:p w:rsidR="00D43D8C" w:rsidRDefault="00D43D8C">
      <w:pPr>
        <w:pStyle w:val="ConsPlusNormal"/>
        <w:jc w:val="right"/>
      </w:pPr>
      <w:r>
        <w:t>С.С.КРАВЦОВ</w:t>
      </w:r>
    </w:p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Normal"/>
        <w:jc w:val="right"/>
        <w:outlineLvl w:val="0"/>
      </w:pPr>
      <w:r>
        <w:t>Приложение</w:t>
      </w:r>
    </w:p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Normal"/>
        <w:jc w:val="right"/>
      </w:pPr>
      <w:r>
        <w:t>Утвержден</w:t>
      </w:r>
    </w:p>
    <w:p w:rsidR="00D43D8C" w:rsidRDefault="00D43D8C">
      <w:pPr>
        <w:pStyle w:val="ConsPlusNormal"/>
        <w:jc w:val="right"/>
      </w:pPr>
      <w:r>
        <w:t>приказом Министерства просвещения</w:t>
      </w:r>
    </w:p>
    <w:p w:rsidR="00D43D8C" w:rsidRDefault="00D43D8C">
      <w:pPr>
        <w:pStyle w:val="ConsPlusNormal"/>
        <w:jc w:val="right"/>
      </w:pPr>
      <w:r>
        <w:t>Российской Федерации</w:t>
      </w:r>
    </w:p>
    <w:p w:rsidR="00D43D8C" w:rsidRDefault="00D43D8C">
      <w:pPr>
        <w:pStyle w:val="ConsPlusNormal"/>
        <w:jc w:val="right"/>
      </w:pPr>
      <w:r>
        <w:t>от 2 июня 2022 г. N 392</w:t>
      </w:r>
    </w:p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Title"/>
        <w:jc w:val="center"/>
      </w:pPr>
      <w:bookmarkStart w:id="0" w:name="P34"/>
      <w:bookmarkEnd w:id="0"/>
      <w:r>
        <w:t>ФЕДЕРАЛЬНЫЙ ГОСУДАРСТВЕННЫЙ ОБРАЗОВАТЕЛЬНЫЙ СТАНДАРТ</w:t>
      </w:r>
    </w:p>
    <w:p w:rsidR="00D43D8C" w:rsidRDefault="00D43D8C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D43D8C" w:rsidRDefault="00D43D8C">
      <w:pPr>
        <w:pStyle w:val="ConsPlusTitle"/>
        <w:jc w:val="center"/>
      </w:pPr>
      <w:r>
        <w:t>11.02.17 РАЗРАБОТКА ЭЛЕКТРОННЫХ УСТРОЙСТВ И СИСТЕМ</w:t>
      </w:r>
    </w:p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Title"/>
        <w:jc w:val="center"/>
        <w:outlineLvl w:val="1"/>
      </w:pPr>
      <w:r>
        <w:t>I. ОБЩИЕ ПОЛОЖЕНИЯ</w:t>
      </w:r>
    </w:p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Normal"/>
        <w:ind w:firstLine="540"/>
        <w:jc w:val="both"/>
      </w:pPr>
      <w:bookmarkStart w:id="1" w:name="P40"/>
      <w:bookmarkEnd w:id="1"/>
      <w:r>
        <w:t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специалистов среднего звена по специальности 11.02.17 Разработка электронных устройств и систем (далее соответственно - ФГОС СПО, образовательная программа, специальность) в соответствии с квалификацией специалиста среднего звена "техник".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1.2. Получение образования по специальности допускается только в профессиональной образовательной организации или образовательной организации высшего образования (далее вместе - образовательная организация).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1.3. Образовательная программа,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стандарта среднего общего образования &lt;1&gt; и ФГОС СПО с учетом получаемой специальности.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 xml:space="preserve">&lt;1&gt; Федеральный государственный образовательный </w:t>
      </w:r>
      <w:hyperlink r:id="rId15">
        <w:r>
          <w:rPr>
            <w:color w:val="0000FF"/>
          </w:rPr>
          <w:t>стандарт</w:t>
        </w:r>
      </w:hyperlink>
      <w:r>
        <w:t xml:space="preserve"> среднего общего образования, утвержденный приказом Министерства образования и науки Российской Федерации от 17 мая 2012 г. N 413 (зарегистрирован Министерством юстиции Российской Федерации 7 июня 2012 г., регистрационный N 24480), с изменениями, внесенными приказами Министерства образования и науки Российской Федерации от 29 декабря 2014 г. N 1645 (зарегистрирован Министерством юстиции Российской Федерации 9 февраля 2015 г., регистрационный N 35953), от 31 декабря 2015 г. N 1578 (зарегистрирован Министерством юстиции Российской Федерации 9 февраля 2016 г., регистрационный N 41020), от 29 июня 2017 г. N 613 (зарегистрирован Министерством юстиции Российской Федерации 26 июля 2017 г., регистрационный N 47532), </w:t>
      </w:r>
      <w:r>
        <w:lastRenderedPageBreak/>
        <w:t>приказами Министерства просвещения Российской Федерации от 24 сентября 2020 г. N 519 (зарегистрирован Министерством юстиции Российской Федерации 23 декабря 2020 г., регистрационный N 61749) и от 11 декабря 2020 г. N 712 (зарегистрирован Министерством юстиции Российской Федерации 25 декабря 2020 г., регистрационный N 61828).</w:t>
      </w:r>
    </w:p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Normal"/>
        <w:ind w:firstLine="540"/>
        <w:jc w:val="both"/>
      </w:pPr>
      <w:r>
        <w:t>1.4. Обучение по образовательной программе в образовательной организации осуществляется в очной и очно-заочной формах обучения.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1.5.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1.6. Реализация образовательной программы осуществляется образовательной организацией как самостоятельно, так и посредством сетевой формы.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1.7.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соответствующую примерную основную образовательную программу, включенную в реестр примерных основных образовательных программ (далее - ПООП), примерной рабочей программы воспитания и примерного календарного плана воспитательной работы &lt;2&gt;.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 xml:space="preserve">&lt;2&gt; </w:t>
      </w:r>
      <w:hyperlink r:id="rId16">
        <w:r>
          <w:rPr>
            <w:color w:val="0000FF"/>
          </w:rPr>
          <w:t>Часть 2 статьи 12.1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2020, N 31, ст. 5063).</w:t>
      </w:r>
    </w:p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Normal"/>
        <w:ind w:firstLine="540"/>
        <w:jc w:val="both"/>
      </w:pPr>
      <w:r>
        <w:t>1.8. Образовательная программа реализуется на государственном языке Российской Федерации, если иное не определено локальным нормативным актом образовательной организации &lt;3&gt;.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 xml:space="preserve">&lt;3&gt; </w:t>
      </w:r>
      <w:hyperlink r:id="rId17">
        <w:r>
          <w:rPr>
            <w:color w:val="0000FF"/>
          </w:rPr>
          <w:t>Статья 14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2018, N 32, ст. 5110).</w:t>
      </w:r>
    </w:p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Normal"/>
        <w:ind w:firstLine="540"/>
        <w:jc w:val="both"/>
      </w:pPr>
      <w:bookmarkStart w:id="2" w:name="P59"/>
      <w:bookmarkEnd w:id="2"/>
      <w:r>
        <w:t>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на базе среднего общего образования - 1 год 10 месяцев;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на базе основного общего образования - 2 года 10 месяцев.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Срок получения образования по образовательной программе в очно-заочной форме обучения, вне зависимости от применяемых образовательных технологий, увеличивается по сравнению со сроком получения образования в очной форме обучения не более чем на 1 год.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 xml:space="preserve">1.10. При обучении по индивидуальному учебному плану срок получения образования по </w:t>
      </w:r>
      <w:r>
        <w:lastRenderedPageBreak/>
        <w:t>образовательной программе, вне зависимости от формы обучения, составляет не более срока получения образования, установленного для соответствующей формы обучения.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один год по сравнению со сроком получения образования для соответствующей формы обучения.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 xml:space="preserve">1.11. Конкретный срок получения образования в очно-заочной форме обучения, а также по индивидуальному учебному плану, в том числе при ускоренном обучении, определяются образовательной организацией самостоятельно в пределах сроков, установленных </w:t>
      </w:r>
      <w:hyperlink w:anchor="P59">
        <w:r>
          <w:rPr>
            <w:color w:val="0000FF"/>
          </w:rPr>
          <w:t>пунктом 1.9</w:t>
        </w:r>
      </w:hyperlink>
      <w:r>
        <w:t xml:space="preserve"> ФГОС СПО.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1.12. Для определения объема образовательной программы образовательной организацией может быть применена система зачетных единиц, при этом одна зачетная единица соответствует 32 - 36 академическим часам.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1.13. Срок получения образования по образовательной программе, реализуемой в условиях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а также объем такой образовательной программы могут быть уменьшены с учетом соответствующей ПООП, но не более чем на 40 процентов от срока получения образования и объема образовательной программы, установленных ФГОС СПО &lt;4&gt;, за исключением срока получения образования и объема образовательной программы, отведенных на получение среднего общего образования в пределах образовательной программы.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 xml:space="preserve">&lt;4&gt; </w:t>
      </w:r>
      <w:hyperlink r:id="rId18">
        <w:r>
          <w:rPr>
            <w:color w:val="0000FF"/>
          </w:rPr>
          <w:t>Пункт 11</w:t>
        </w:r>
      </w:hyperlink>
      <w:r>
        <w:t xml:space="preserve"> Положения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утвержденного постановлением Правительства Российской Федерации от 16 марта 2022 г. N 387 (Собрание законодательства Российской Федерации, 2022, N 12, ст. 1871).</w:t>
      </w:r>
    </w:p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Normal"/>
        <w:ind w:firstLine="540"/>
        <w:jc w:val="both"/>
      </w:pPr>
      <w:bookmarkStart w:id="3" w:name="P71"/>
      <w:bookmarkEnd w:id="3"/>
      <w:r>
        <w:t xml:space="preserve">1.14.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</w:t>
      </w:r>
      <w:hyperlink r:id="rId19">
        <w:r>
          <w:rPr>
            <w:color w:val="0000FF"/>
          </w:rPr>
          <w:t>29</w:t>
        </w:r>
      </w:hyperlink>
      <w:r>
        <w:t xml:space="preserve"> Производство электрооборудования, электронного и оптического оборудования, </w:t>
      </w:r>
      <w:hyperlink r:id="rId20">
        <w:r>
          <w:rPr>
            <w:color w:val="0000FF"/>
          </w:rPr>
          <w:t>40</w:t>
        </w:r>
      </w:hyperlink>
      <w:r>
        <w:t xml:space="preserve"> Сквозные виды деятельности в промышленности &lt;5&gt;.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 xml:space="preserve">&lt;5&gt; </w:t>
      </w:r>
      <w:hyperlink r:id="rId21">
        <w:r>
          <w:rPr>
            <w:color w:val="0000FF"/>
          </w:rPr>
          <w:t>Таблица</w:t>
        </w:r>
      </w:hyperlink>
      <w:r>
        <w:t xml:space="preserve"> приложения к приказу Министерства труда и социальной защиты Российской Федерации от 29 сентября 2014 г. N 667н "О реестре профессиональных стандартов (перечне видов профессиональной деятельности)" (зарегистрирован Министерством юстиции Российской Федерации 19 ноября 2014 г., регистрационный N 34779) с изменением, внесенным приказом Министерства труда и социальной защиты Российской Федерации от 9 марта 2017 г. N 254н (зарегистрирован Министерством юстиции Российской Федерации 29 марта 2017 г., регистрационный N 46168).</w:t>
      </w:r>
    </w:p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Normal"/>
        <w:ind w:firstLine="540"/>
        <w:jc w:val="both"/>
      </w:pPr>
      <w:r>
        <w:t>Выпускники могут осуществлять профессиональную деятельность в других областях профессиональной деятельности и (или) сферах профессиональной деятельности при условии соответствия уровня их образования и полученных компетенций требованиям к квалификации работника.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 xml:space="preserve">1.15. При разработке образовательной программы организация устанавливает </w:t>
      </w:r>
      <w:r>
        <w:lastRenderedPageBreak/>
        <w:t>направленность, которая соответствует специальности в целом, с учетом соответствующей ПООП.</w:t>
      </w:r>
    </w:p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Title"/>
        <w:jc w:val="center"/>
        <w:outlineLvl w:val="1"/>
      </w:pPr>
      <w:r>
        <w:t>II. ТРЕБОВАНИЯ К СТРУКТУРЕ ОБРАЗОВАТЕЛЬНОЙ ПРОГРАММЫ</w:t>
      </w:r>
    </w:p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Normal"/>
        <w:ind w:firstLine="540"/>
        <w:jc w:val="both"/>
      </w:pPr>
      <w:r>
        <w:t xml:space="preserve">2.1. Структура и объем образовательной программы </w:t>
      </w:r>
      <w:hyperlink w:anchor="P87">
        <w:r>
          <w:rPr>
            <w:color w:val="0000FF"/>
          </w:rPr>
          <w:t>(таблица N 1)</w:t>
        </w:r>
      </w:hyperlink>
      <w:r>
        <w:t xml:space="preserve"> включает: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дисциплины (модули);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практику;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государственную итоговую аттестацию.</w:t>
      </w:r>
    </w:p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Normal"/>
        <w:jc w:val="right"/>
      </w:pPr>
      <w:r>
        <w:t>Таблица N 1</w:t>
      </w:r>
    </w:p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Normal"/>
        <w:jc w:val="center"/>
      </w:pPr>
      <w:bookmarkStart w:id="4" w:name="P87"/>
      <w:bookmarkEnd w:id="4"/>
      <w:r>
        <w:t>Структура и объем образовательной программы</w:t>
      </w:r>
    </w:p>
    <w:p w:rsidR="00D43D8C" w:rsidRDefault="00D43D8C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706"/>
        <w:gridCol w:w="4365"/>
      </w:tblGrid>
      <w:tr w:rsidR="00D43D8C">
        <w:tc>
          <w:tcPr>
            <w:tcW w:w="4706" w:type="dxa"/>
          </w:tcPr>
          <w:p w:rsidR="00D43D8C" w:rsidRDefault="00D43D8C">
            <w:pPr>
              <w:pStyle w:val="ConsPlusNormal"/>
              <w:jc w:val="center"/>
            </w:pPr>
            <w:r>
              <w:t>Структура образовательной программы</w:t>
            </w:r>
          </w:p>
        </w:tc>
        <w:tc>
          <w:tcPr>
            <w:tcW w:w="4365" w:type="dxa"/>
          </w:tcPr>
          <w:p w:rsidR="00D43D8C" w:rsidRDefault="00D43D8C">
            <w:pPr>
              <w:pStyle w:val="ConsPlusNormal"/>
              <w:jc w:val="center"/>
            </w:pPr>
            <w:r>
              <w:t>Объем образовательной программы, в академических часах</w:t>
            </w:r>
          </w:p>
        </w:tc>
      </w:tr>
      <w:tr w:rsidR="00D43D8C">
        <w:tc>
          <w:tcPr>
            <w:tcW w:w="4706" w:type="dxa"/>
          </w:tcPr>
          <w:p w:rsidR="00D43D8C" w:rsidRDefault="00D43D8C">
            <w:pPr>
              <w:pStyle w:val="ConsPlusNormal"/>
            </w:pPr>
            <w:r>
              <w:t>Дисциплины (модули)</w:t>
            </w:r>
          </w:p>
        </w:tc>
        <w:tc>
          <w:tcPr>
            <w:tcW w:w="4365" w:type="dxa"/>
          </w:tcPr>
          <w:p w:rsidR="00D43D8C" w:rsidRDefault="00D43D8C">
            <w:pPr>
              <w:pStyle w:val="ConsPlusNormal"/>
              <w:jc w:val="center"/>
            </w:pPr>
            <w:r>
              <w:t>Не менее 1548</w:t>
            </w:r>
          </w:p>
        </w:tc>
      </w:tr>
      <w:tr w:rsidR="00D43D8C">
        <w:tc>
          <w:tcPr>
            <w:tcW w:w="4706" w:type="dxa"/>
          </w:tcPr>
          <w:p w:rsidR="00D43D8C" w:rsidRDefault="00D43D8C">
            <w:pPr>
              <w:pStyle w:val="ConsPlusNormal"/>
            </w:pPr>
            <w:r>
              <w:t>Практика</w:t>
            </w:r>
          </w:p>
        </w:tc>
        <w:tc>
          <w:tcPr>
            <w:tcW w:w="4365" w:type="dxa"/>
          </w:tcPr>
          <w:p w:rsidR="00D43D8C" w:rsidRDefault="00D43D8C">
            <w:pPr>
              <w:pStyle w:val="ConsPlusNormal"/>
              <w:jc w:val="center"/>
            </w:pPr>
            <w:r>
              <w:t>Не менее 360</w:t>
            </w:r>
          </w:p>
        </w:tc>
      </w:tr>
      <w:tr w:rsidR="00D43D8C">
        <w:tc>
          <w:tcPr>
            <w:tcW w:w="4706" w:type="dxa"/>
          </w:tcPr>
          <w:p w:rsidR="00D43D8C" w:rsidRDefault="00D43D8C">
            <w:pPr>
              <w:pStyle w:val="ConsPlusNormal"/>
            </w:pPr>
            <w:r>
              <w:t>Государственная итоговая аттестация</w:t>
            </w:r>
          </w:p>
        </w:tc>
        <w:tc>
          <w:tcPr>
            <w:tcW w:w="4365" w:type="dxa"/>
          </w:tcPr>
          <w:p w:rsidR="00D43D8C" w:rsidRDefault="00D43D8C">
            <w:pPr>
              <w:pStyle w:val="ConsPlusNormal"/>
              <w:jc w:val="center"/>
            </w:pPr>
            <w:r>
              <w:t>216</w:t>
            </w:r>
          </w:p>
        </w:tc>
      </w:tr>
      <w:tr w:rsidR="00D43D8C">
        <w:tc>
          <w:tcPr>
            <w:tcW w:w="9071" w:type="dxa"/>
            <w:gridSpan w:val="2"/>
          </w:tcPr>
          <w:p w:rsidR="00D43D8C" w:rsidRDefault="00D43D8C">
            <w:pPr>
              <w:pStyle w:val="ConsPlusNormal"/>
              <w:jc w:val="center"/>
            </w:pPr>
            <w:r>
              <w:t>Общий объем образовательной программы:</w:t>
            </w:r>
          </w:p>
        </w:tc>
      </w:tr>
      <w:tr w:rsidR="00D43D8C">
        <w:tc>
          <w:tcPr>
            <w:tcW w:w="4706" w:type="dxa"/>
          </w:tcPr>
          <w:p w:rsidR="00D43D8C" w:rsidRDefault="00D43D8C">
            <w:pPr>
              <w:pStyle w:val="ConsPlusNormal"/>
            </w:pPr>
            <w:r>
              <w:t>на базе среднего общего образования</w:t>
            </w:r>
          </w:p>
        </w:tc>
        <w:tc>
          <w:tcPr>
            <w:tcW w:w="4365" w:type="dxa"/>
          </w:tcPr>
          <w:p w:rsidR="00D43D8C" w:rsidRDefault="00D43D8C">
            <w:pPr>
              <w:pStyle w:val="ConsPlusNormal"/>
              <w:jc w:val="center"/>
            </w:pPr>
            <w:r>
              <w:t>2952</w:t>
            </w:r>
          </w:p>
        </w:tc>
      </w:tr>
      <w:tr w:rsidR="00D43D8C">
        <w:tc>
          <w:tcPr>
            <w:tcW w:w="4706" w:type="dxa"/>
          </w:tcPr>
          <w:p w:rsidR="00D43D8C" w:rsidRDefault="00D43D8C">
            <w:pPr>
              <w:pStyle w:val="ConsPlusNormal"/>
            </w:pPr>
            <w:r>
              <w:t>на базе основного общего образования, включая получение среднего общего образования в соответствии с требованиями федерального государственного образовательного стандарта среднего общего образования</w:t>
            </w:r>
          </w:p>
        </w:tc>
        <w:tc>
          <w:tcPr>
            <w:tcW w:w="4365" w:type="dxa"/>
          </w:tcPr>
          <w:p w:rsidR="00D43D8C" w:rsidRDefault="00D43D8C">
            <w:pPr>
              <w:pStyle w:val="ConsPlusNormal"/>
              <w:jc w:val="center"/>
            </w:pPr>
            <w:r>
              <w:t>4428</w:t>
            </w:r>
          </w:p>
        </w:tc>
      </w:tr>
    </w:tbl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Normal"/>
        <w:ind w:firstLine="540"/>
        <w:jc w:val="both"/>
      </w:pPr>
      <w:r>
        <w:t>2.2. Образовательная программа включает циклы: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социально-гуманитарный цикл;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общепрофессиональный цикл;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профессиональный цикл.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2.3. В рамках образовательной программы выделяются обязательная часть и часть, формируемая участниками образовательных отношений (вариативная часть).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 xml:space="preserve">Обязательная часть образовательной программы направлена на формирование общих и профессиональных компетенций, предусмотренных </w:t>
      </w:r>
      <w:hyperlink w:anchor="P131">
        <w:r>
          <w:rPr>
            <w:color w:val="0000FF"/>
          </w:rPr>
          <w:t>главой III</w:t>
        </w:r>
      </w:hyperlink>
      <w:r>
        <w:t xml:space="preserve"> ФГОС СПО.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Объем обязательной части без учета объема государственной итоговой аттестации должен составлять не более 70 процентов от общего объема времени, отведенного на освоение образовательной программы.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 xml:space="preserve">Вариативная часть образовательной программы объемом не менее 30 процентов от общего объема времени, отведенного на освоение образовательной программы, дает возможность </w:t>
      </w:r>
      <w:r>
        <w:lastRenderedPageBreak/>
        <w:t>дальнейшего развития общих и профессиональных компетенций, в том числе за счет расширения видов деятельности, введения дополнительных видов деятельности, а также дополнительных профессиональных компетенций, необходимых для обеспечения конкурентоспособности выпускника в соответствии с потребностями регионального рынка труда, а также с учетом требований цифровой экономики. Конкретное соотношение обязательной и вариативной частей образовательной программы, объемные параметры циклов и практики образовательная организация определяет самостоятельно в соответствии с требованиями настоящего пункта, а также с учетом ПООП.</w:t>
      </w:r>
    </w:p>
    <w:p w:rsidR="00D43D8C" w:rsidRDefault="00D43D8C">
      <w:pPr>
        <w:pStyle w:val="ConsPlusNormal"/>
        <w:spacing w:before="220"/>
        <w:ind w:firstLine="540"/>
        <w:jc w:val="both"/>
      </w:pPr>
      <w:bookmarkStart w:id="5" w:name="P111"/>
      <w:bookmarkEnd w:id="5"/>
      <w:r>
        <w:t>2.4. Образовательная программа разрабатывается образовательной организацией в соответствии с ФГОС СПО с учетом соответствующей примерной основной образовательной программы, включенной в реестр ПООП, и предполагает освоение следующих видов деятельности: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выполнение сборки, монтажа и демонтажа электронных устройств и систем в соответствии с технической документацией;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выполнение проектирования электронных устройств и систем;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выполнение настройки, регулировки, диагностики, ремонта и испытаний параметров электронных устройств и систем различного типа;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программирование встраиваемых систем с использованием интегрированных сред разработки.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 xml:space="preserve">2.5. Образовательная организация при необходимости самостоятельно формирует виды деятельности в дополнение к видам деятельности, указанным в </w:t>
      </w:r>
      <w:hyperlink w:anchor="P111">
        <w:r>
          <w:rPr>
            <w:color w:val="0000FF"/>
          </w:rPr>
          <w:t>пункте 2.4</w:t>
        </w:r>
      </w:hyperlink>
      <w:r>
        <w:t xml:space="preserve"> ФГОС СПО, в рамках вариативной части.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2.6. При освоении социально-гуманитарного, общепрофессионального и профессионального циклов (далее - учебные циклы) выделяется объем учебных занятий, практики (в профессиональном цикле) и самостоятельной работы.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На проведение учебных занятий и практики должно быть выделено не менее 70 процентов от объема учебных циклов образовательной программы в очной форме обучения и не менее 25 процентов - в очно-заочной форме обучения.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В учебные циклы включается промежуточная аттестация обучающихся, которая осуществляется в рамках освоения указанных циклов в соответствии с формой, определяемой образовательной организацией, и оценочными материалами, позволяющими оценить достижение запланированных по отдельным дисциплинам (модулям) и практикам результатов обучения.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2.7. Обязательная часть социально-гуманитарного цикла образовательной программы должна предусматривать изучение следующих дисциплин: "История России", "Иностранный язык в профессиональной деятельности", "Безопасность жизнедеятельности", "Физическая культура", "Основы финансовой грамотности".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Общий объем дисциплины "Безопасность жизнедеятельности" в очной форме обучения не может быть менее 68 академических часов, из них на освоение основ военной службы (для юношей) - не менее 48 академических часов; для подгрупп девушек это время может быть использовано на освоение основ медицинских знаний.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Дисциплина "Физическая культура" должна способствовать формированию физической культуры выпускника и способности направленного использования средств физической культуры и спорта для сохранения и укрепления здоровья, психофизической подготовке к профессиональной деятельности, предупреждению профессиональных заболеваний.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lastRenderedPageBreak/>
        <w:t>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"Физическая культура" с учетом состояния их здоровья.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 xml:space="preserve">2.8. Обязательная часть общепрофессионального цикла образовательной программы должна предусматривать изучение следующих дисциплин: "Математические методы решения типовых прикладных задач", "Информатика и вычислительная техника", "Основы электротехники", "Электронная техника", "Основы метрологии и </w:t>
      </w:r>
      <w:proofErr w:type="spellStart"/>
      <w:r>
        <w:t>электрорадиоизмерений</w:t>
      </w:r>
      <w:proofErr w:type="spellEnd"/>
      <w:r>
        <w:t>", "Информационные технологии в профессиональной деятельности".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 xml:space="preserve">2.9. Профессиональный цикл образовательной программы включает профессиональные модули, которые формируются в соответствии с видами деятельности, предусмотренными </w:t>
      </w:r>
      <w:hyperlink w:anchor="P111">
        <w:r>
          <w:rPr>
            <w:color w:val="0000FF"/>
          </w:rPr>
          <w:t>пунктом 2.4</w:t>
        </w:r>
      </w:hyperlink>
      <w:r>
        <w:t xml:space="preserve"> ФГОС СПО, а также дополнительными видами деятельности, сформированными образовательными организациями самостоятельно. В состав профессионального модуля входит один или несколько междисциплинарных курсов, которые устанавливаются образовательной организацией самостоятельно с учетом ПООП. Объем профессионального модуля составляет не менее 4 зачетных единиц.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 xml:space="preserve">2.10. Практика входит в профессиональный цикл и имеет следующие виды - учебная практика и производственная практика, которые реализуются в форме практической подготовки. Учебная и производственная практики реализуются как в несколько периодов, так и </w:t>
      </w:r>
      <w:proofErr w:type="spellStart"/>
      <w:r>
        <w:t>рассредоточенно</w:t>
      </w:r>
      <w:proofErr w:type="spellEnd"/>
      <w:r>
        <w:t>, чередуясь с учебными занятиями. Типы практики устанавливаются образовательной организацией самостоятельно с учетом ПООП.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2.11. Образовательная организация должна предоставлять инвалидам и лицам с ограниченными возможностями здоровья (по их заявлению) возможность обучения по образовательной программе, учитывающей особенности их психофизического развития, индивидуальных возможностей и, при необходимости, обеспечивающей коррекцию нарушений развития и социальную адаптацию указанных лиц.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2.12. Государственная итоговая аттестация проводится в форме демонстрационного экзамена и защиты дипломного проекта (работы).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 xml:space="preserve">2.13. Государственная итоговая аттестация завершается присвоением квалификации квалифицированного рабочего, служащего, указанной в </w:t>
      </w:r>
      <w:hyperlink w:anchor="P40">
        <w:r>
          <w:rPr>
            <w:color w:val="0000FF"/>
          </w:rPr>
          <w:t>пункте 1.1</w:t>
        </w:r>
      </w:hyperlink>
      <w:r>
        <w:t xml:space="preserve"> ФГОС СПО.</w:t>
      </w:r>
    </w:p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Title"/>
        <w:jc w:val="center"/>
        <w:outlineLvl w:val="1"/>
      </w:pPr>
      <w:bookmarkStart w:id="6" w:name="P131"/>
      <w:bookmarkEnd w:id="6"/>
      <w:r>
        <w:t>III. ТРЕБОВАНИЯ К РЕЗУЛЬТАТАМ ОСВОЕНИЯ</w:t>
      </w:r>
    </w:p>
    <w:p w:rsidR="00D43D8C" w:rsidRDefault="00D43D8C">
      <w:pPr>
        <w:pStyle w:val="ConsPlusTitle"/>
        <w:jc w:val="center"/>
      </w:pPr>
      <w:r>
        <w:t>ОБРАЗОВАТЕЛЬНОЙ ПРОГРАММЫ</w:t>
      </w:r>
    </w:p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Normal"/>
        <w:ind w:firstLine="540"/>
        <w:jc w:val="both"/>
      </w:pPr>
      <w:r>
        <w:t>3.1. В результате освоения образовательной программы у выпускника должны быть сформированы общие и профессиональные компетенции.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3.2. Выпускник, освоивший образовательную программу, должен обладать следующими общими компетенциями (далее - ОК):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ОК 01. Выбирать способы решения задач профессиональной деятельности применительно к различным контекстам;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 xml:space="preserve">ОК 02. Использовать современные средства поиска, анализа и </w:t>
      </w:r>
      <w:proofErr w:type="gramStart"/>
      <w:r>
        <w:t>интерпретации информации</w:t>
      </w:r>
      <w:proofErr w:type="gramEnd"/>
      <w:r>
        <w:t xml:space="preserve"> и информационные технологии для выполнения задач профессиональной деятельности;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ОК 04. Эффективно взаимодействовать и работать в коллективе и команде;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lastRenderedPageBreak/>
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ОК 06. 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ОК 09. Пользоваться профессиональной документацией на государственном и иностранном языках.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 xml:space="preserve">3.3. Выпускник, освоивший образовательную программу, должен обладать профессиональными компетенциями (далее - ПК), соответствующими видам деятельности (таблица N 2), предусмотренным </w:t>
      </w:r>
      <w:hyperlink w:anchor="P111">
        <w:r>
          <w:rPr>
            <w:color w:val="0000FF"/>
          </w:rPr>
          <w:t>пунктом 2.4</w:t>
        </w:r>
      </w:hyperlink>
      <w:r>
        <w:t xml:space="preserve"> ФГОС СПО, сформированными в том числе на основе профессиональных стандартов (при наличии), указанных в ПООП:</w:t>
      </w:r>
    </w:p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Normal"/>
        <w:jc w:val="right"/>
      </w:pPr>
      <w:r>
        <w:t>Таблица N 2</w:t>
      </w:r>
    </w:p>
    <w:p w:rsidR="00D43D8C" w:rsidRDefault="00D43D8C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835"/>
        <w:gridCol w:w="6236"/>
      </w:tblGrid>
      <w:tr w:rsidR="00D43D8C">
        <w:tc>
          <w:tcPr>
            <w:tcW w:w="2835" w:type="dxa"/>
          </w:tcPr>
          <w:p w:rsidR="00D43D8C" w:rsidRDefault="00D43D8C">
            <w:pPr>
              <w:pStyle w:val="ConsPlusNormal"/>
              <w:jc w:val="center"/>
            </w:pPr>
            <w:r>
              <w:t>Виды деятельности</w:t>
            </w:r>
          </w:p>
        </w:tc>
        <w:tc>
          <w:tcPr>
            <w:tcW w:w="6236" w:type="dxa"/>
          </w:tcPr>
          <w:p w:rsidR="00D43D8C" w:rsidRDefault="00D43D8C">
            <w:pPr>
              <w:pStyle w:val="ConsPlusNormal"/>
              <w:jc w:val="center"/>
            </w:pPr>
            <w:r>
              <w:t>Профессиональные компетенции, соответствующие видам деятельности</w:t>
            </w:r>
          </w:p>
        </w:tc>
      </w:tr>
      <w:tr w:rsidR="00D43D8C">
        <w:tc>
          <w:tcPr>
            <w:tcW w:w="2835" w:type="dxa"/>
          </w:tcPr>
          <w:p w:rsidR="00D43D8C" w:rsidRDefault="00D43D8C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236" w:type="dxa"/>
          </w:tcPr>
          <w:p w:rsidR="00D43D8C" w:rsidRDefault="00D43D8C">
            <w:pPr>
              <w:pStyle w:val="ConsPlusNormal"/>
              <w:jc w:val="center"/>
            </w:pPr>
            <w:r>
              <w:t>2</w:t>
            </w:r>
          </w:p>
        </w:tc>
      </w:tr>
      <w:tr w:rsidR="00D43D8C">
        <w:tc>
          <w:tcPr>
            <w:tcW w:w="2835" w:type="dxa"/>
          </w:tcPr>
          <w:p w:rsidR="00D43D8C" w:rsidRDefault="00D43D8C">
            <w:pPr>
              <w:pStyle w:val="ConsPlusNormal"/>
            </w:pPr>
            <w:r>
              <w:t>выполнение сборки, монтажа и демонтажа электронных устройств и систем в соответствии с технической документацией</w:t>
            </w:r>
          </w:p>
        </w:tc>
        <w:tc>
          <w:tcPr>
            <w:tcW w:w="6236" w:type="dxa"/>
          </w:tcPr>
          <w:p w:rsidR="00D43D8C" w:rsidRDefault="00D43D8C">
            <w:pPr>
              <w:pStyle w:val="ConsPlusNormal"/>
              <w:jc w:val="both"/>
            </w:pPr>
            <w:r>
              <w:t>ПК 1.1. Осуществлять подбор технологий, технического оснащения и оборудования для сборки, монтажа и демонтажа элементов электронных блоков, устройств и систем различного типа.</w:t>
            </w:r>
          </w:p>
          <w:p w:rsidR="00D43D8C" w:rsidRDefault="00D43D8C">
            <w:pPr>
              <w:pStyle w:val="ConsPlusNormal"/>
              <w:jc w:val="both"/>
            </w:pPr>
            <w:r>
              <w:t>ПК 1.2. Осуществлять сборку, монтаж и демонтаж элементов электронных блоков, устройств и систем различного типа.</w:t>
            </w:r>
          </w:p>
          <w:p w:rsidR="00D43D8C" w:rsidRDefault="00D43D8C">
            <w:pPr>
              <w:pStyle w:val="ConsPlusNormal"/>
              <w:jc w:val="both"/>
            </w:pPr>
            <w:r>
              <w:t>ПК 1.3. Эксплуатировать автоматизированное оборудование для сборки и монтажа электронных блоков, устройств и систем различного типа.</w:t>
            </w:r>
          </w:p>
        </w:tc>
      </w:tr>
      <w:tr w:rsidR="00D43D8C">
        <w:tc>
          <w:tcPr>
            <w:tcW w:w="2835" w:type="dxa"/>
          </w:tcPr>
          <w:p w:rsidR="00D43D8C" w:rsidRDefault="00D43D8C">
            <w:pPr>
              <w:pStyle w:val="ConsPlusNormal"/>
            </w:pPr>
            <w:r>
              <w:t>выполнение проектирования электронных устройств и систем</w:t>
            </w:r>
          </w:p>
        </w:tc>
        <w:tc>
          <w:tcPr>
            <w:tcW w:w="6236" w:type="dxa"/>
          </w:tcPr>
          <w:p w:rsidR="00D43D8C" w:rsidRDefault="00D43D8C">
            <w:pPr>
              <w:pStyle w:val="ConsPlusNormal"/>
              <w:jc w:val="both"/>
            </w:pPr>
            <w:r>
              <w:t>ПК 2.1. Составлять электрические схемы, проводить расчеты и анализ параметров электронных блоков, устройств и систем различного типа с применением специализированного программного обеспечения в соответствии с техническим заданием.</w:t>
            </w:r>
          </w:p>
          <w:p w:rsidR="00D43D8C" w:rsidRDefault="00D43D8C">
            <w:pPr>
              <w:pStyle w:val="ConsPlusNormal"/>
              <w:jc w:val="both"/>
            </w:pPr>
            <w:r>
              <w:t>ПК 2.2. Выполнять проектирование электрических схем и печатных плат с использованием компьютерного моделирования.</w:t>
            </w:r>
          </w:p>
        </w:tc>
      </w:tr>
      <w:tr w:rsidR="00D43D8C">
        <w:tc>
          <w:tcPr>
            <w:tcW w:w="2835" w:type="dxa"/>
          </w:tcPr>
          <w:p w:rsidR="00D43D8C" w:rsidRDefault="00D43D8C">
            <w:pPr>
              <w:pStyle w:val="ConsPlusNormal"/>
            </w:pPr>
            <w:r>
              <w:t xml:space="preserve">выполнение настройки, регулировки, диагностики, ремонта и испытаний параметров электронных устройств и систем </w:t>
            </w:r>
            <w:r>
              <w:lastRenderedPageBreak/>
              <w:t>различного типа</w:t>
            </w:r>
          </w:p>
        </w:tc>
        <w:tc>
          <w:tcPr>
            <w:tcW w:w="6236" w:type="dxa"/>
          </w:tcPr>
          <w:p w:rsidR="00D43D8C" w:rsidRDefault="00D43D8C">
            <w:pPr>
              <w:pStyle w:val="ConsPlusNormal"/>
              <w:jc w:val="both"/>
            </w:pPr>
            <w:r>
              <w:lastRenderedPageBreak/>
              <w:t>ПК 3.1. Составлять и использовать алгоритмы диагностики работоспособности электронных устройств и систем различного типа.</w:t>
            </w:r>
          </w:p>
          <w:p w:rsidR="00D43D8C" w:rsidRDefault="00D43D8C">
            <w:pPr>
              <w:pStyle w:val="ConsPlusNormal"/>
              <w:jc w:val="both"/>
            </w:pPr>
            <w:r>
              <w:t>ПК 3.2. Проводить стандартные и сертификационные испытания электронных устройств и систем различного типа.</w:t>
            </w:r>
          </w:p>
          <w:p w:rsidR="00D43D8C" w:rsidRDefault="00D43D8C">
            <w:pPr>
              <w:pStyle w:val="ConsPlusNormal"/>
              <w:jc w:val="both"/>
            </w:pPr>
            <w:r>
              <w:lastRenderedPageBreak/>
              <w:t>ПК 3.3. Осуществлять настройку, регулировку, техническое обслуживание и ремонт электронных устройств и систем различного типа.</w:t>
            </w:r>
          </w:p>
        </w:tc>
      </w:tr>
      <w:tr w:rsidR="00D43D8C">
        <w:tc>
          <w:tcPr>
            <w:tcW w:w="2835" w:type="dxa"/>
          </w:tcPr>
          <w:p w:rsidR="00D43D8C" w:rsidRDefault="00D43D8C">
            <w:pPr>
              <w:pStyle w:val="ConsPlusNormal"/>
            </w:pPr>
            <w:r>
              <w:lastRenderedPageBreak/>
              <w:t>программирование встраиваемых систем с использованием интегрированных сред разработки</w:t>
            </w:r>
          </w:p>
        </w:tc>
        <w:tc>
          <w:tcPr>
            <w:tcW w:w="6236" w:type="dxa"/>
          </w:tcPr>
          <w:p w:rsidR="00D43D8C" w:rsidRDefault="00D43D8C">
            <w:pPr>
              <w:pStyle w:val="ConsPlusNormal"/>
              <w:jc w:val="both"/>
            </w:pPr>
            <w:r>
              <w:t>ПК 4.1. Составлять алгоритмы и структуру программного кода для микропроцессорных систем.</w:t>
            </w:r>
          </w:p>
          <w:p w:rsidR="00D43D8C" w:rsidRDefault="00D43D8C">
            <w:pPr>
              <w:pStyle w:val="ConsPlusNormal"/>
              <w:jc w:val="both"/>
            </w:pPr>
            <w:r>
              <w:t>ПК 4.2. Проектировать и программировать встраиваемые системы и интерфейсы оборудования с использованием языков программирования.</w:t>
            </w:r>
          </w:p>
        </w:tc>
      </w:tr>
    </w:tbl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Normal"/>
        <w:ind w:firstLine="540"/>
        <w:jc w:val="both"/>
      </w:pPr>
      <w:r>
        <w:t xml:space="preserve">3.4. Образовательная организация при необходимости самостоятельно включает в образовательную программу дополнительные профессиональные компетенции по видам деятельности, установленным в соответствии с </w:t>
      </w:r>
      <w:hyperlink w:anchor="P111">
        <w:r>
          <w:rPr>
            <w:color w:val="0000FF"/>
          </w:rPr>
          <w:t>пунктом 2.4</w:t>
        </w:r>
      </w:hyperlink>
      <w:r>
        <w:t xml:space="preserve"> ФГОС СПО, а также по видам деятельности, сформированным в вариативной части образовательной программы образовательной организацией для учета потребностей регионального рынка труда.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Образовательная организация при необходимости вводит в вариативную часть учебных циклов образовательной программы модуль по освоению компетенций цифровой экономики, соответствующих одному или нескольким видам деятельности, осваиваемых в рамках образовательной программы.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3.5. Образовательная организация с учетом ПООП самостоятельно планирует результаты обучения по отдельным дисциплинам (модулям) и практикам, которые должны быть соотнесены с требуемыми результатами освоения образовательной программы.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Совокупность запланированных результатов обучения по дисциплинам (модулям) и практикам должна обеспечивать выпускнику освоение всех компетенций, установленных образовательной программой.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3.6. Обучающиеся, осваивающие образовательную программу, осваивают профессию рабочего, должность служащего (одну или несколько) в соответствии с перечнем профессий рабочих, должностей служащих, по которым осуществляется профессиональное обучение &lt;6&gt;.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 xml:space="preserve">&lt;6&gt; </w:t>
      </w:r>
      <w:hyperlink r:id="rId22">
        <w:r>
          <w:rPr>
            <w:color w:val="0000FF"/>
          </w:rPr>
          <w:t>Часть 7 статьи 73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2020, N 22, ст. 3379).</w:t>
      </w:r>
    </w:p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Title"/>
        <w:jc w:val="center"/>
        <w:outlineLvl w:val="1"/>
      </w:pPr>
      <w:r>
        <w:t>IV. ТРЕБОВАНИЯ К УСЛОВИЯМ РЕАЛИЗАЦИИ</w:t>
      </w:r>
    </w:p>
    <w:p w:rsidR="00D43D8C" w:rsidRDefault="00D43D8C">
      <w:pPr>
        <w:pStyle w:val="ConsPlusTitle"/>
        <w:jc w:val="center"/>
      </w:pPr>
      <w:r>
        <w:t>ОБРАЗОВАТЕЛЬНОЙ ПРОГРАММЫ</w:t>
      </w:r>
    </w:p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Normal"/>
        <w:ind w:firstLine="540"/>
        <w:jc w:val="both"/>
      </w:pPr>
      <w:r>
        <w:t>4.1. Образовательная организация осуществляет образовательную деятельность по реализации образовательной программы среднего профессионального образования в соответствии с действующими санитарными нормами и правилами &lt;7&gt;.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 xml:space="preserve">&lt;7&gt; Федеральный </w:t>
      </w:r>
      <w:hyperlink r:id="rId23">
        <w:r>
          <w:rPr>
            <w:color w:val="0000FF"/>
          </w:rPr>
          <w:t>закон</w:t>
        </w:r>
      </w:hyperlink>
      <w:r>
        <w:t xml:space="preserve"> от 30 марта 1999 г. N 52-ФЗ "О санитарно-эпидемиологическом благополучии населения" (Собрание законодательства Российской Федерации, 1999, N 14, ст. 1650; 2021, N 27, ст. 5185);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 xml:space="preserve">санитарные правила </w:t>
      </w:r>
      <w:hyperlink r:id="rId24">
        <w:r>
          <w:rPr>
            <w:color w:val="0000FF"/>
          </w:rPr>
          <w:t>СП 2.4.3648-20</w:t>
        </w:r>
      </w:hyperlink>
      <w:r>
        <w:t xml:space="preserve">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 </w:t>
      </w:r>
      <w:r>
        <w:lastRenderedPageBreak/>
        <w:t>сентября 2020 г. N 28 (зарегистрировано Министерством юстиции Российской Федерации 18 декабря 2020 г., регистрационный N 61573);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 xml:space="preserve">санитарно-эпидемиологические правила и нормы </w:t>
      </w:r>
      <w:hyperlink r:id="rId25">
        <w:r>
          <w:rPr>
            <w:color w:val="0000FF"/>
          </w:rPr>
          <w:t>СанПиН 2.3/2.4.3590-20</w:t>
        </w:r>
      </w:hyperlink>
      <w:r>
        <w:t xml:space="preserve"> "Санитарно-эпидемиологические требования к организации общественного питания населения", утвержденные постановлением Главного государственного санитарного врача Российской Федерации от 27 октября 2020 г. N 32 (зарегистрировано Министерством юстиции Российской Федерации 11 ноября 2020 г., регистрационный N 60833);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 xml:space="preserve">санитарные правила и нормы </w:t>
      </w:r>
      <w:hyperlink r:id="rId26">
        <w:r>
          <w:rPr>
            <w:color w:val="0000FF"/>
          </w:rPr>
          <w:t>СанПиН 1.2.3685-21</w:t>
        </w:r>
      </w:hyperlink>
      <w:r>
        <w:t xml:space="preserve"> "Гигиенические нормативы и требования к обеспечению безопасности и (или) безвредности для человека факторов среды обитания", утвержденные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62296).</w:t>
      </w:r>
    </w:p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Normal"/>
        <w:ind w:firstLine="540"/>
        <w:jc w:val="both"/>
      </w:pPr>
      <w:r>
        <w:t>4.2. Требования к условиям реализации образовательной программы включают в себя общесистемные требования, требования к материально-техническому, учебно-методическому обеспечению, к организации воспитания обучающихся, кадровым и финансовым условиям реализации образовательной программы:</w:t>
      </w:r>
    </w:p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Title"/>
        <w:ind w:firstLine="540"/>
        <w:jc w:val="both"/>
        <w:outlineLvl w:val="2"/>
      </w:pPr>
      <w:r>
        <w:t>4.3. Общесистемные требования к условиям реализации образовательной программы: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а) образовательная организация должна располагать на праве собственности или ином законном основании материально-технической базой, обеспечивающей проведение всех видов учебной деятельности обучающихся, включая проведение демонстрационного экзамена, предусмотренных учебным планом, с учетом ПООП;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б)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материально-технического и учебно-методического обеспечения, предоставляемого организациями, участвующими в реализации образовательной программы с использованием сетевой формы.</w:t>
      </w:r>
    </w:p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Title"/>
        <w:ind w:firstLine="540"/>
        <w:jc w:val="both"/>
        <w:outlineLvl w:val="2"/>
      </w:pPr>
      <w:r>
        <w:t>4.4. Требования к материально-техническому и учебно-методическому обеспечению реализации образовательной программы: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а) специальные помещения должны представлять собой учебные аудитории, лаборатории, мастерские, оснащенные оборудованием, техническими средствами обучения для проведения занятий всех видов, предусмотренных образовательной программой, в том числе групповых и индивидуальных консультаций, а также для проведения текущего контроля, промежуточной и государственной итоговой аттестации, помещения для организации самостоятельной и воспитательной работы;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б) все виды учебной деятельности обучающихся, предусмотренные учебным планом, включая промежуточную и государственную итоговую аттестацию, должны быть обеспечены расходными материалами;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в) помещения для организации самостоятельной и воспитательной работы должны быть оснащены компьютерной техникой с возможностью подключения к информационно-телекоммуникационной сети "Интернет" и обеспечением доступа в электронную информационно-образовательную среду образовательной организации (при наличии);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г) допускается замена оборудования его виртуальными аналогами;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 xml:space="preserve">д) образовательная организация должна быть обеспечена необходимым комплектом </w:t>
      </w:r>
      <w:r>
        <w:lastRenderedPageBreak/>
        <w:t>лицензионного и свободно распространяемого программного обеспечения, в том числе отечественного производства;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е) при использовании в образовательном процессе печатных изданий библиотечный фонд должен быть укомплектован печатными изданиями из расчета не менее 0,25 экземпляра каждого из изданий, указанных в рабочих программах дисциплин (модулей), практик, на одного обучающегося из числа лиц, одновременно осваивающих соответствующую дисциплину (модуль), проходящих соответствующую практику;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ж) в качестве основной литературы образовательная организация использует учебники, учебные пособия, предусмотренные ПООП;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 xml:space="preserve">з) в случае наличия электронной информационно-образовательной среды допускается замена печатного библиотечного фонда с предоставлением права одновременного доступа не менее 25 </w:t>
      </w:r>
      <w:proofErr w:type="gramStart"/>
      <w:r>
        <w:t>процентов</w:t>
      </w:r>
      <w:proofErr w:type="gramEnd"/>
      <w:r>
        <w:t xml:space="preserve"> обучающихся к цифровой (электронной) библиотеке;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и) обучающимся должен быть обеспечен доступ (удаленный доступ),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обновлению (при необходимости);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к) обучающиеся инвалиды и лица с ограниченными возможностями здоровья должны быть обеспечены печатными и (или) электронными учебными изданиями, адаптированными при необходимости для обучения указанных обучающихся;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л) образовательная программа должна обеспечиваться учебно-методической документацией по всем учебным дисциплинам (модулям), видам практики, видам государственной итоговой аттестации.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м) рекомендации по иному материально-техническому и учебно-методическому обеспечению реализации образовательной программы определяются ПООП.</w:t>
      </w:r>
    </w:p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Title"/>
        <w:ind w:firstLine="540"/>
        <w:jc w:val="both"/>
        <w:outlineLvl w:val="2"/>
      </w:pPr>
      <w:r>
        <w:t>4.5. Требования к кадровым условиям реализации образовательной программы: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 xml:space="preserve">а) 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иных условиях, в том числе из числа руководителей и работников организаций, направление деятельности которых соответствует одной из областей профессиональной деятельности, указанных в </w:t>
      </w:r>
      <w:hyperlink w:anchor="P71">
        <w:r>
          <w:rPr>
            <w:color w:val="0000FF"/>
          </w:rPr>
          <w:t>пункте 1.14</w:t>
        </w:r>
      </w:hyperlink>
      <w:r>
        <w:t xml:space="preserve"> ФГОС СПО (имеющих стаж работы в данной профессиональной области не менее трех лет);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б) квалификация педагогических работников образовательной организации должна отвечать квалификационным требованиям, указанным в квалификационных справочниках и (или) профессиональных стандартах (при наличии);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 xml:space="preserve">в) 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 не реже одного раза в три года с учетом расширения спектра профессиональных компетенций, в том числе в форме стажировки в организациях, направление деятельности которых соответствует одной из областей профессиональной деятельности, указанных в </w:t>
      </w:r>
      <w:hyperlink w:anchor="P71">
        <w:r>
          <w:rPr>
            <w:color w:val="0000FF"/>
          </w:rPr>
          <w:t>пункте 1.14</w:t>
        </w:r>
      </w:hyperlink>
      <w:r>
        <w:t xml:space="preserve"> ФГОС СПО, а также в других областях профессиональной деятельности и (или) сферах профессиональной деятельности при условий соответствия полученных компетенций требованиям к квалификации педагогического работника;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 xml:space="preserve">г) доля педагогических работников (в приведенных к целочисленным значениям ставок), </w:t>
      </w:r>
      <w:r>
        <w:lastRenderedPageBreak/>
        <w:t xml:space="preserve">имеющих опыт деятельности не менее трех лет в организациях, направление деятельности которых соответствует одной из областей профессиональной деятельности, указанных в </w:t>
      </w:r>
      <w:hyperlink w:anchor="P71">
        <w:r>
          <w:rPr>
            <w:color w:val="0000FF"/>
          </w:rPr>
          <w:t>пункте 1.14</w:t>
        </w:r>
      </w:hyperlink>
      <w:r>
        <w:t xml:space="preserve"> ФГОС СПО, в общем числе педагогических работников, обеспечивающих освоение обучающимися профессиональных модулей образовательной программы, должна быть не менее 25 процентов.</w:t>
      </w:r>
    </w:p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Title"/>
        <w:ind w:firstLine="540"/>
        <w:jc w:val="both"/>
        <w:outlineLvl w:val="2"/>
      </w:pPr>
      <w:r>
        <w:t>4.6. Требование к финансовым условиям реализации образовательной программы: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финансовое обеспечение реализации образовательной программы должно осуществляться в объеме не ниже базовых нормативных затрат на оказание государственной услуги по реализации имеющих государственную аккредитацию образовательных программ среднего профессионального образования по специальности с учетом корректирующих коэффициентов.</w:t>
      </w:r>
    </w:p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Title"/>
        <w:ind w:firstLine="540"/>
        <w:jc w:val="both"/>
        <w:outlineLvl w:val="2"/>
      </w:pPr>
      <w:r>
        <w:t>4.7. Требования к применяемым механизмам оценки качества образовательной программы: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а) качество образовательной программы определяется в рамках системы внутренней оценки, а также системы внешней оценки на добровольной основе;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б)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объединения, иных юридических и (или) физических лиц, включая педагогических работников образовательной организации;</w:t>
      </w:r>
    </w:p>
    <w:p w:rsidR="00D43D8C" w:rsidRDefault="00D43D8C">
      <w:pPr>
        <w:pStyle w:val="ConsPlusNormal"/>
        <w:spacing w:before="220"/>
        <w:ind w:firstLine="540"/>
        <w:jc w:val="both"/>
      </w:pPr>
      <w:r>
        <w:t>в) внешняя оценка качества образовательной программы может осуществляться в том числе в рамках профессионально-общественной аккредитации, проводимой работодателями, их объединениями, а также уполномоченными ими организациями, в том числе иностранными организациями, либо авторизованными национальными профессионально-общественными организациями, входящими в международные структуры, в целях признания качества и уровня подготовки выпускников, отвечающих требованиям профессиональных стандартов, требованиям рынка труда к специалистам соответствующего профиля.</w:t>
      </w:r>
    </w:p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Normal"/>
        <w:ind w:firstLine="540"/>
        <w:jc w:val="both"/>
      </w:pPr>
    </w:p>
    <w:p w:rsidR="00D43D8C" w:rsidRDefault="00D43D8C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7629C" w:rsidRDefault="0007629C">
      <w:bookmarkStart w:id="7" w:name="_GoBack"/>
      <w:bookmarkEnd w:id="7"/>
    </w:p>
    <w:sectPr w:rsidR="0007629C" w:rsidSect="003766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3D8C"/>
    <w:rsid w:val="0007629C"/>
    <w:rsid w:val="00D43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AFDF27-8DD4-4D14-A12F-9D9D3ECA9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43D8C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D43D8C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D43D8C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ZB&amp;n=377712&amp;dst=101047" TargetMode="External"/><Relationship Id="rId13" Type="http://schemas.openxmlformats.org/officeDocument/2006/relationships/hyperlink" Target="https://login.consultant.ru/link/?req=doc&amp;base=RZB&amp;n=460964&amp;dst=100664" TargetMode="External"/><Relationship Id="rId18" Type="http://schemas.openxmlformats.org/officeDocument/2006/relationships/hyperlink" Target="https://login.consultant.ru/link/?req=doc&amp;base=RZB&amp;n=411930&amp;dst=100030" TargetMode="External"/><Relationship Id="rId26" Type="http://schemas.openxmlformats.org/officeDocument/2006/relationships/hyperlink" Target="https://login.consultant.ru/link/?req=doc&amp;base=RZB&amp;n=441707&amp;dst=100137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login.consultant.ru/link/?req=doc&amp;base=RZB&amp;n=214720&amp;dst=100047" TargetMode="External"/><Relationship Id="rId7" Type="http://schemas.openxmlformats.org/officeDocument/2006/relationships/hyperlink" Target="https://login.consultant.ru/link/?req=doc&amp;base=RZB&amp;n=398388&amp;dst=100012" TargetMode="External"/><Relationship Id="rId12" Type="http://schemas.openxmlformats.org/officeDocument/2006/relationships/hyperlink" Target="https://login.consultant.ru/link/?req=doc&amp;base=RZB&amp;n=377712&amp;dst=101059" TargetMode="External"/><Relationship Id="rId17" Type="http://schemas.openxmlformats.org/officeDocument/2006/relationships/hyperlink" Target="https://login.consultant.ru/link/?req=doc&amp;base=RZB&amp;n=461363&amp;dst=100249" TargetMode="External"/><Relationship Id="rId25" Type="http://schemas.openxmlformats.org/officeDocument/2006/relationships/hyperlink" Target="https://login.consultant.ru/link/?req=doc&amp;base=RZB&amp;n=367564&amp;dst=100037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ZB&amp;n=461363&amp;dst=446" TargetMode="External"/><Relationship Id="rId20" Type="http://schemas.openxmlformats.org/officeDocument/2006/relationships/hyperlink" Target="https://login.consultant.ru/link/?req=doc&amp;base=RZB&amp;n=214720&amp;dst=100116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ZB&amp;n=399342&amp;dst=100072" TargetMode="External"/><Relationship Id="rId11" Type="http://schemas.openxmlformats.org/officeDocument/2006/relationships/hyperlink" Target="https://login.consultant.ru/link/?req=doc&amp;base=RZB&amp;n=398352&amp;dst=100012" TargetMode="External"/><Relationship Id="rId24" Type="http://schemas.openxmlformats.org/officeDocument/2006/relationships/hyperlink" Target="https://login.consultant.ru/link/?req=doc&amp;base=RZB&amp;n=371594&amp;dst=100047" TargetMode="External"/><Relationship Id="rId5" Type="http://schemas.openxmlformats.org/officeDocument/2006/relationships/hyperlink" Target="https://login.consultant.ru/link/?req=doc&amp;base=RZB&amp;n=470436&amp;dst=100051" TargetMode="External"/><Relationship Id="rId15" Type="http://schemas.openxmlformats.org/officeDocument/2006/relationships/hyperlink" Target="https://login.consultant.ru/link/?req=doc&amp;base=RZB&amp;n=426546&amp;dst=4" TargetMode="External"/><Relationship Id="rId23" Type="http://schemas.openxmlformats.org/officeDocument/2006/relationships/hyperlink" Target="https://login.consultant.ru/link/?req=doc&amp;base=RZB&amp;n=452886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login.consultant.ru/link/?req=doc&amp;base=RZB&amp;n=377712&amp;dst=101050" TargetMode="External"/><Relationship Id="rId19" Type="http://schemas.openxmlformats.org/officeDocument/2006/relationships/hyperlink" Target="https://login.consultant.ru/link/?req=doc&amp;base=RZB&amp;n=214720&amp;dst=100106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RZB&amp;n=398418&amp;dst=100012" TargetMode="External"/><Relationship Id="rId14" Type="http://schemas.openxmlformats.org/officeDocument/2006/relationships/hyperlink" Target="https://login.consultant.ru/link/?req=doc&amp;base=RZB&amp;n=411930&amp;dst=100011" TargetMode="External"/><Relationship Id="rId22" Type="http://schemas.openxmlformats.org/officeDocument/2006/relationships/hyperlink" Target="https://login.consultant.ru/link/?req=doc&amp;base=RZB&amp;n=461363&amp;dst=415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5311</Words>
  <Characters>30274</Characters>
  <Application>Microsoft Office Word</Application>
  <DocSecurity>0</DocSecurity>
  <Lines>252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student-13</dc:creator>
  <cp:keywords/>
  <dc:description/>
  <cp:lastModifiedBy>student-13</cp:lastModifiedBy>
  <cp:revision>1</cp:revision>
  <dcterms:created xsi:type="dcterms:W3CDTF">2024-05-07T07:20:00Z</dcterms:created>
  <dcterms:modified xsi:type="dcterms:W3CDTF">2024-05-07T07:20:00Z</dcterms:modified>
</cp:coreProperties>
</file>