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BFF" w:rsidRDefault="001A1BFF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1A1BFF" w:rsidRDefault="001A1BFF">
      <w:pPr>
        <w:pStyle w:val="ConsPlusNormal"/>
        <w:jc w:val="both"/>
        <w:outlineLvl w:val="0"/>
      </w:pPr>
    </w:p>
    <w:p w:rsidR="001A1BFF" w:rsidRDefault="001A1BFF">
      <w:pPr>
        <w:pStyle w:val="ConsPlusNormal"/>
        <w:outlineLvl w:val="0"/>
      </w:pPr>
      <w:r>
        <w:t>Зарегистрировано в Минюсте России 24 апреля 2024 г. N 77979</w:t>
      </w:r>
    </w:p>
    <w:p w:rsidR="001A1BFF" w:rsidRDefault="001A1BFF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Title"/>
        <w:jc w:val="center"/>
      </w:pPr>
      <w:r>
        <w:t>МИНИСТЕРСТВО ПРОСВЕЩЕНИЯ РОССИЙСКОЙ ФЕДЕРАЦИИ</w:t>
      </w:r>
    </w:p>
    <w:p w:rsidR="001A1BFF" w:rsidRDefault="001A1BFF">
      <w:pPr>
        <w:pStyle w:val="ConsPlusTitle"/>
        <w:jc w:val="center"/>
      </w:pPr>
    </w:p>
    <w:p w:rsidR="001A1BFF" w:rsidRDefault="001A1BFF">
      <w:pPr>
        <w:pStyle w:val="ConsPlusTitle"/>
        <w:jc w:val="center"/>
      </w:pPr>
      <w:r>
        <w:t>ПРИКАЗ</w:t>
      </w:r>
    </w:p>
    <w:p w:rsidR="001A1BFF" w:rsidRDefault="001A1BFF">
      <w:pPr>
        <w:pStyle w:val="ConsPlusTitle"/>
        <w:jc w:val="center"/>
      </w:pPr>
      <w:r>
        <w:t>от 18 марта 2024 г. N 169</w:t>
      </w:r>
    </w:p>
    <w:p w:rsidR="001A1BFF" w:rsidRDefault="001A1BFF">
      <w:pPr>
        <w:pStyle w:val="ConsPlusTitle"/>
        <w:jc w:val="center"/>
      </w:pPr>
    </w:p>
    <w:p w:rsidR="001A1BFF" w:rsidRDefault="001A1BFF">
      <w:pPr>
        <w:pStyle w:val="ConsPlusTitle"/>
        <w:jc w:val="center"/>
      </w:pPr>
      <w:r>
        <w:t>ОБ УТВЕРЖДЕНИИ</w:t>
      </w:r>
    </w:p>
    <w:p w:rsidR="001A1BFF" w:rsidRDefault="001A1BFF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1A1BFF" w:rsidRDefault="001A1BFF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1A1BFF" w:rsidRDefault="001A1BFF">
      <w:pPr>
        <w:pStyle w:val="ConsPlusTitle"/>
        <w:jc w:val="center"/>
      </w:pPr>
      <w:r>
        <w:t>23.02.05 ЭКСПЛУАТАЦИЯ ТРАНСПОРТНОГО ЭЛЕКТРООБОРУДОВАНИЯ</w:t>
      </w:r>
    </w:p>
    <w:p w:rsidR="001A1BFF" w:rsidRDefault="001A1BFF">
      <w:pPr>
        <w:pStyle w:val="ConsPlusTitle"/>
        <w:jc w:val="center"/>
      </w:pPr>
      <w:r>
        <w:t>И АВТОМАТИКИ (ПО ВИДАМ ТРАНСПОРТА, ЗА ИСКЛЮЧЕНИЕМ ВОДНОГО)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подпунктом 4.2.31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r:id="rId6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3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</w:t>
      </w:r>
      <w:hyperlink r:id="rId7">
        <w:r>
          <w:rPr>
            <w:color w:val="0000FF"/>
          </w:rPr>
          <w:t>23.02.05</w:t>
        </w:r>
      </w:hyperlink>
      <w:r>
        <w:t xml:space="preserve"> Эксплуатация транспортного электрооборудования и автоматики (по видам транспорта, за исключением водного) (далее - стандарт).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3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8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9">
        <w:r>
          <w:rPr>
            <w:color w:val="0000FF"/>
          </w:rPr>
          <w:t>23.02.05</w:t>
        </w:r>
      </w:hyperlink>
      <w:r>
        <w:t xml:space="preserve"> Эксплуатация транспортного электрооборудования и автоматики (по видам транспорта, за исключением водного), утвержденным приказом Министерства образования и науки Российской Федерации от 22 апреля 2014 г. N 387 (зарегистрирован Министерством юстиции Российской Федерации 31 июля 2014 г., регистрационный N 33391), с изменениями, внесенными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прекращается с 31 декабря 2024 года.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jc w:val="right"/>
      </w:pPr>
      <w:r>
        <w:t>Министр</w:t>
      </w:r>
    </w:p>
    <w:p w:rsidR="001A1BFF" w:rsidRDefault="001A1BFF">
      <w:pPr>
        <w:pStyle w:val="ConsPlusNormal"/>
        <w:jc w:val="right"/>
      </w:pPr>
      <w:r>
        <w:t>С.С.КРАВЦОВ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jc w:val="right"/>
        <w:outlineLvl w:val="0"/>
      </w:pPr>
      <w:r>
        <w:t>Утвержден</w:t>
      </w:r>
    </w:p>
    <w:p w:rsidR="001A1BFF" w:rsidRDefault="001A1BFF">
      <w:pPr>
        <w:pStyle w:val="ConsPlusNormal"/>
        <w:jc w:val="right"/>
      </w:pPr>
      <w:r>
        <w:t>приказом Министерства просвещения</w:t>
      </w:r>
    </w:p>
    <w:p w:rsidR="001A1BFF" w:rsidRDefault="001A1BFF">
      <w:pPr>
        <w:pStyle w:val="ConsPlusNormal"/>
        <w:jc w:val="right"/>
      </w:pPr>
      <w:r>
        <w:t>Российской Федерации</w:t>
      </w:r>
    </w:p>
    <w:p w:rsidR="001A1BFF" w:rsidRDefault="001A1BFF">
      <w:pPr>
        <w:pStyle w:val="ConsPlusNormal"/>
        <w:jc w:val="right"/>
      </w:pPr>
      <w:r>
        <w:t>от 18 марта 2024 г. N 169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Title"/>
        <w:jc w:val="center"/>
      </w:pPr>
      <w:bookmarkStart w:id="0" w:name="P33"/>
      <w:bookmarkEnd w:id="0"/>
      <w:r>
        <w:lastRenderedPageBreak/>
        <w:t>ФЕДЕРАЛЬНЫЙ ГОСУДАРСТВЕННЫЙ ОБРАЗОВАТЕЛЬНЫЙ СТАНДАРТ</w:t>
      </w:r>
    </w:p>
    <w:p w:rsidR="001A1BFF" w:rsidRDefault="001A1BFF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1A1BFF" w:rsidRDefault="001A1BFF">
      <w:pPr>
        <w:pStyle w:val="ConsPlusTitle"/>
        <w:jc w:val="center"/>
      </w:pPr>
      <w:r>
        <w:t>23.02.05 ЭКСПЛУАТАЦИЯ ТРАНСПОРТНОГО ЭЛЕКТРООБОРУДОВАНИЯ</w:t>
      </w:r>
    </w:p>
    <w:p w:rsidR="001A1BFF" w:rsidRDefault="001A1BFF">
      <w:pPr>
        <w:pStyle w:val="ConsPlusTitle"/>
        <w:jc w:val="center"/>
      </w:pPr>
      <w:r>
        <w:t>И АВТОМАТИКИ (ПО ВИДАМ ТРАНСПОРТА, ЗА ИСКЛЮЧЕНИЕМ ВОДНОГО)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Title"/>
        <w:jc w:val="center"/>
        <w:outlineLvl w:val="1"/>
      </w:pPr>
      <w:r>
        <w:t>I. ОБЩИЕ ПОЛОЖЕНИЯ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ind w:firstLine="540"/>
        <w:jc w:val="both"/>
      </w:pPr>
      <w:bookmarkStart w:id="1" w:name="P40"/>
      <w:bookmarkEnd w:id="1"/>
      <w: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</w:t>
      </w:r>
      <w:hyperlink r:id="rId10">
        <w:r>
          <w:rPr>
            <w:color w:val="0000FF"/>
          </w:rPr>
          <w:t>23.02.05</w:t>
        </w:r>
      </w:hyperlink>
      <w:r>
        <w:t xml:space="preserve"> Эксплуатация транспортного электрооборудования и автоматики (по видам транспорта, за исключением водного) (далее соответственно - ФГОС СПО, образовательная программа, специальность) в соответствии с квалификацией специалиста среднего звена "техник-электромеханик" &lt;1&gt;.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&lt;1&gt; </w:t>
      </w:r>
      <w:hyperlink r:id="rId11">
        <w:r>
          <w:rPr>
            <w:color w:val="0000FF"/>
          </w:rPr>
          <w:t>Перечень</w:t>
        </w:r>
      </w:hyperlink>
      <w:r>
        <w:t xml:space="preserve"> специальностей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приказами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 и от 25 сентября 2023 г. N 717 (зарегистрирован Министерством юстиции Российской Федерации 26 октября 2023 г., регистрационный N 75754).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ind w:firstLine="540"/>
        <w:jc w:val="both"/>
      </w:pPr>
      <w:r>
        <w:t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r:id="rId12">
        <w:r>
          <w:rPr>
            <w:color w:val="0000FF"/>
          </w:rPr>
          <w:t>стандарта</w:t>
        </w:r>
      </w:hyperlink>
      <w:r>
        <w:t xml:space="preserve"> среднего общего образования &lt;2&gt; и ФГОС СПО с учетом получаемой специальности.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&lt;2&gt; Федеральный государственный образовательный </w:t>
      </w:r>
      <w:hyperlink r:id="rId13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61828), от 12 августа 2022 г. N 732 (зарегистрирован Министерством юстиции Российской Федерации 12 сентября 2022 г., регистрационный N 70034) и от 27 декабря 2023 г. N 1028 (зарегистрирован Министерством юстиции Российской Федерации 2 февраля 2024 г., регистрационный N 77121).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ind w:firstLine="540"/>
        <w:jc w:val="both"/>
      </w:pPr>
      <w:r>
        <w:t xml:space="preserve">1.4. Обучение по образовательной программе в образовательной организации </w:t>
      </w:r>
      <w:r>
        <w:lastRenderedPageBreak/>
        <w:t>осуществляется в очной, очно-заочной и заочной формах обучения.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4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&lt;4&gt; </w:t>
      </w:r>
      <w:hyperlink r:id="rId15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ind w:firstLine="540"/>
        <w:jc w:val="both"/>
      </w:pPr>
      <w:bookmarkStart w:id="2" w:name="P62"/>
      <w:bookmarkEnd w:id="2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на базе среднего общего образования - 2 год 10 месяцев;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на базе основного общего образования - 3 года 10 месяцев.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и заочной формах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 не более чем на 1 год.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1.10. 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образования, установленного для соответствующей формы обучения.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lastRenderedPageBreak/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anchor="P62">
        <w:r>
          <w:rPr>
            <w:color w:val="0000FF"/>
          </w:rPr>
          <w:t>пунктом 1.9</w:t>
        </w:r>
      </w:hyperlink>
      <w:r>
        <w:t xml:space="preserve"> ФГОС СПО.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1A1BFF" w:rsidRDefault="001A1BFF">
      <w:pPr>
        <w:pStyle w:val="ConsPlusNormal"/>
        <w:spacing w:before="220"/>
        <w:ind w:firstLine="540"/>
        <w:jc w:val="both"/>
      </w:pPr>
      <w:bookmarkStart w:id="3" w:name="P70"/>
      <w:bookmarkEnd w:id="3"/>
      <w:r>
        <w:t xml:space="preserve">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</w:t>
      </w:r>
      <w:hyperlink r:id="rId16">
        <w:r>
          <w:rPr>
            <w:color w:val="0000FF"/>
          </w:rPr>
          <w:t>17</w:t>
        </w:r>
      </w:hyperlink>
      <w:r>
        <w:t xml:space="preserve"> Транспорт &lt;5&gt;.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&lt;5&gt; </w:t>
      </w:r>
      <w:hyperlink r:id="rId17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1.14. При разработке образовательной программы организация устанавливает направленность, которая конкретизирует содержание программы путем ориентации на виды деятельности, с учетом соответствующей ПОП.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ind w:firstLine="540"/>
        <w:jc w:val="both"/>
      </w:pPr>
      <w:r>
        <w:t xml:space="preserve">2.1. Структура и объем образовательной программы </w:t>
      </w:r>
      <w:hyperlink w:anchor="P86">
        <w:r>
          <w:rPr>
            <w:color w:val="0000FF"/>
          </w:rPr>
          <w:t>(таблица N 1)</w:t>
        </w:r>
      </w:hyperlink>
      <w:r>
        <w:t xml:space="preserve"> включают: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практику;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jc w:val="right"/>
      </w:pPr>
      <w:r>
        <w:t>Таблица N 1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jc w:val="center"/>
      </w:pPr>
      <w:bookmarkStart w:id="4" w:name="P86"/>
      <w:bookmarkEnd w:id="4"/>
      <w:r>
        <w:t>Структура и объем образовательной программы</w:t>
      </w:r>
    </w:p>
    <w:p w:rsidR="001A1BFF" w:rsidRDefault="001A1BFF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329"/>
        <w:gridCol w:w="3742"/>
      </w:tblGrid>
      <w:tr w:rsidR="001A1BFF">
        <w:tc>
          <w:tcPr>
            <w:tcW w:w="5329" w:type="dxa"/>
          </w:tcPr>
          <w:p w:rsidR="001A1BFF" w:rsidRDefault="001A1BFF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3742" w:type="dxa"/>
          </w:tcPr>
          <w:p w:rsidR="001A1BFF" w:rsidRDefault="001A1BFF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1A1BFF">
        <w:tc>
          <w:tcPr>
            <w:tcW w:w="5329" w:type="dxa"/>
          </w:tcPr>
          <w:p w:rsidR="001A1BFF" w:rsidRDefault="001A1BFF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3742" w:type="dxa"/>
          </w:tcPr>
          <w:p w:rsidR="001A1BFF" w:rsidRDefault="001A1BFF">
            <w:pPr>
              <w:pStyle w:val="ConsPlusNormal"/>
              <w:jc w:val="center"/>
            </w:pPr>
            <w:r>
              <w:t>Не менее 2052</w:t>
            </w:r>
          </w:p>
        </w:tc>
      </w:tr>
      <w:tr w:rsidR="001A1BFF">
        <w:tc>
          <w:tcPr>
            <w:tcW w:w="5329" w:type="dxa"/>
          </w:tcPr>
          <w:p w:rsidR="001A1BFF" w:rsidRDefault="001A1BFF">
            <w:pPr>
              <w:pStyle w:val="ConsPlusNormal"/>
            </w:pPr>
            <w:r>
              <w:t>Практика</w:t>
            </w:r>
          </w:p>
        </w:tc>
        <w:tc>
          <w:tcPr>
            <w:tcW w:w="3742" w:type="dxa"/>
          </w:tcPr>
          <w:p w:rsidR="001A1BFF" w:rsidRDefault="001A1BFF">
            <w:pPr>
              <w:pStyle w:val="ConsPlusNormal"/>
              <w:jc w:val="center"/>
            </w:pPr>
            <w:r>
              <w:t>Не менее 900</w:t>
            </w:r>
          </w:p>
        </w:tc>
      </w:tr>
      <w:tr w:rsidR="001A1BFF">
        <w:tc>
          <w:tcPr>
            <w:tcW w:w="5329" w:type="dxa"/>
          </w:tcPr>
          <w:p w:rsidR="001A1BFF" w:rsidRDefault="001A1BFF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3742" w:type="dxa"/>
          </w:tcPr>
          <w:p w:rsidR="001A1BFF" w:rsidRDefault="001A1BFF">
            <w:pPr>
              <w:pStyle w:val="ConsPlusNormal"/>
              <w:jc w:val="center"/>
            </w:pPr>
            <w:r>
              <w:t>216</w:t>
            </w:r>
          </w:p>
        </w:tc>
      </w:tr>
      <w:tr w:rsidR="001A1BFF">
        <w:tc>
          <w:tcPr>
            <w:tcW w:w="9071" w:type="dxa"/>
            <w:gridSpan w:val="2"/>
          </w:tcPr>
          <w:p w:rsidR="001A1BFF" w:rsidRDefault="001A1BFF">
            <w:pPr>
              <w:pStyle w:val="ConsPlusNormal"/>
              <w:jc w:val="center"/>
            </w:pPr>
            <w:r>
              <w:lastRenderedPageBreak/>
              <w:t>Общий объем образовательной программы:</w:t>
            </w:r>
          </w:p>
        </w:tc>
      </w:tr>
      <w:tr w:rsidR="001A1BFF">
        <w:tc>
          <w:tcPr>
            <w:tcW w:w="5329" w:type="dxa"/>
          </w:tcPr>
          <w:p w:rsidR="001A1BFF" w:rsidRDefault="001A1BFF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3742" w:type="dxa"/>
          </w:tcPr>
          <w:p w:rsidR="001A1BFF" w:rsidRDefault="001A1BFF">
            <w:pPr>
              <w:pStyle w:val="ConsPlusNormal"/>
              <w:jc w:val="center"/>
            </w:pPr>
            <w:r>
              <w:t>4464</w:t>
            </w:r>
          </w:p>
        </w:tc>
      </w:tr>
      <w:tr w:rsidR="001A1BFF">
        <w:tc>
          <w:tcPr>
            <w:tcW w:w="5329" w:type="dxa"/>
            <w:vAlign w:val="bottom"/>
          </w:tcPr>
          <w:p w:rsidR="001A1BFF" w:rsidRDefault="001A1BFF">
            <w:pPr>
              <w:pStyle w:val="ConsPlusNormal"/>
            </w:pPr>
            <w:r>
              <w:t xml:space="preserve">на базе основного общего образования, включая получение среднего общего образования в соответствии с требованиями федерального государственного образовательного </w:t>
            </w:r>
            <w:hyperlink r:id="rId18">
              <w:r>
                <w:rPr>
                  <w:color w:val="0000FF"/>
                </w:rPr>
                <w:t>стандарта</w:t>
              </w:r>
            </w:hyperlink>
            <w:r>
              <w:t xml:space="preserve"> среднего общего образования</w:t>
            </w:r>
          </w:p>
        </w:tc>
        <w:tc>
          <w:tcPr>
            <w:tcW w:w="3742" w:type="dxa"/>
          </w:tcPr>
          <w:p w:rsidR="001A1BFF" w:rsidRDefault="001A1BFF">
            <w:pPr>
              <w:pStyle w:val="ConsPlusNormal"/>
              <w:jc w:val="center"/>
            </w:pPr>
            <w:r>
              <w:t>5940</w:t>
            </w:r>
          </w:p>
        </w:tc>
      </w:tr>
    </w:tbl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ind w:firstLine="540"/>
        <w:jc w:val="both"/>
      </w:pPr>
      <w:r>
        <w:t>2.2. Образовательная программа включает: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профессиональный цикл.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31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направлена на дальнейшее развитие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рынка труда субъекта Российской Федерации, а также с учетом требований цифровой экономики.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p w:rsidR="001A1BFF" w:rsidRDefault="001A1BFF">
      <w:pPr>
        <w:pStyle w:val="ConsPlusNormal"/>
        <w:spacing w:before="220"/>
        <w:ind w:firstLine="540"/>
        <w:jc w:val="both"/>
      </w:pPr>
      <w:bookmarkStart w:id="5" w:name="P111"/>
      <w:bookmarkEnd w:id="5"/>
      <w:r>
        <w:t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выполнение технического обслуживания и ремонта электрооборудования и автоматики на транспорте (по видам транспорта);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разработка технологических процессов и нормативной документации по техническому обслуживанию и ремонту электрооборудования и автоматики на транспорте (по видам транспорта);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проведение диагностирования электрооборудования и автоматики на транспорте (по видам транспорта);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организация деятельности коллектива исполнителей.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2.5. Образовательная организация при необходимости самостоятельно формирует виды </w:t>
      </w:r>
      <w:r>
        <w:lastRenderedPageBreak/>
        <w:t xml:space="preserve">деятельности в дополнение к видам деятельности, указанным в </w:t>
      </w:r>
      <w:hyperlink w:anchor="P111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грамотности", "Основы бережливого производства".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часов, для подгрупп девушек это время может быть использовано на освоение основ медицинских знаний.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2.8. Обязательная часть общепрофессионального цикла образовательной программы должна предусматривать изучение следующих дисциплин: "Инженерная графика", "Техническая механика", "Электротехника и электроника", "Материаловедение", "Метрология, стандартизация и сертификация", "Охрана труда", "Правовое обеспечение профессиональной деятельности".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выбранными видами деятельности, предусмотренными </w:t>
      </w:r>
      <w:hyperlink w:anchor="P111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4 зачетных единиц.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ПОП.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</w:t>
      </w:r>
      <w:r>
        <w:lastRenderedPageBreak/>
        <w:t xml:space="preserve">образовательной программе, учитывающей особенности их психофизического развития, индивидуальных возможностей и </w:t>
      </w:r>
      <w:proofErr w:type="gramStart"/>
      <w:r>
        <w:t>при необходимости</w:t>
      </w:r>
      <w:proofErr w:type="gramEnd"/>
      <w:r>
        <w:t xml:space="preserve"> обеспечивающей коррекцию нарушений развития и социальную адаптацию указанных лиц.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демонстрационного экзамена и защиты дипломного проекта (работы).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anchor="P40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Title"/>
        <w:jc w:val="center"/>
        <w:outlineLvl w:val="1"/>
      </w:pPr>
      <w:bookmarkStart w:id="6" w:name="P131"/>
      <w:bookmarkEnd w:id="6"/>
      <w:r>
        <w:t>III. ТРЕБОВАНИЯ К РЕЗУЛЬТАТАМ ОСВОЕНИЯ</w:t>
      </w:r>
    </w:p>
    <w:p w:rsidR="001A1BFF" w:rsidRDefault="001A1BFF">
      <w:pPr>
        <w:pStyle w:val="ConsPlusTitle"/>
        <w:jc w:val="center"/>
      </w:pPr>
      <w:r>
        <w:t>ОБРАЗОВАТЕЛЬНОЙ ПРОГРАММЫ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 </w:t>
      </w:r>
      <w:hyperlink w:anchor="P111">
        <w:r>
          <w:rPr>
            <w:color w:val="0000FF"/>
          </w:rPr>
          <w:t>пунктом 2.4</w:t>
        </w:r>
      </w:hyperlink>
      <w:r>
        <w:t xml:space="preserve"> ФГОС СПО, сформированными в том числе на основе профессиональных стандартов (при наличии), указанных в ПОП.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jc w:val="right"/>
      </w:pPr>
      <w:r>
        <w:t>Таблица N 2</w:t>
      </w:r>
    </w:p>
    <w:p w:rsidR="001A1BFF" w:rsidRDefault="001A1BFF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515"/>
        <w:gridCol w:w="5556"/>
      </w:tblGrid>
      <w:tr w:rsidR="001A1BFF">
        <w:tc>
          <w:tcPr>
            <w:tcW w:w="3515" w:type="dxa"/>
          </w:tcPr>
          <w:p w:rsidR="001A1BFF" w:rsidRDefault="001A1BFF">
            <w:pPr>
              <w:pStyle w:val="ConsPlusNormal"/>
              <w:jc w:val="center"/>
            </w:pPr>
            <w:r>
              <w:t>Виды деятельности</w:t>
            </w:r>
          </w:p>
        </w:tc>
        <w:tc>
          <w:tcPr>
            <w:tcW w:w="5556" w:type="dxa"/>
          </w:tcPr>
          <w:p w:rsidR="001A1BFF" w:rsidRDefault="001A1BFF">
            <w:pPr>
              <w:pStyle w:val="ConsPlusNormal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1A1BFF">
        <w:tc>
          <w:tcPr>
            <w:tcW w:w="3515" w:type="dxa"/>
          </w:tcPr>
          <w:p w:rsidR="001A1BFF" w:rsidRDefault="001A1BFF">
            <w:pPr>
              <w:pStyle w:val="ConsPlusNormal"/>
            </w:pPr>
            <w:r>
              <w:t>выполнение технического обслуживания и ремонта электрооборудования и автоматики на транспорте (по видам транспорта)</w:t>
            </w:r>
          </w:p>
        </w:tc>
        <w:tc>
          <w:tcPr>
            <w:tcW w:w="5556" w:type="dxa"/>
          </w:tcPr>
          <w:p w:rsidR="001A1BFF" w:rsidRDefault="001A1BFF">
            <w:pPr>
              <w:pStyle w:val="ConsPlusNormal"/>
              <w:jc w:val="both"/>
            </w:pPr>
            <w:r>
              <w:t>ПК 1.1. Осуществлять эксплуатацию,</w:t>
            </w:r>
          </w:p>
          <w:p w:rsidR="001A1BFF" w:rsidRDefault="001A1BFF">
            <w:pPr>
              <w:pStyle w:val="ConsPlusNormal"/>
              <w:jc w:val="both"/>
            </w:pPr>
            <w:r>
              <w:t>техническое обслуживание и ремонт изделий электрооборудования и автоматики.</w:t>
            </w:r>
          </w:p>
          <w:p w:rsidR="001A1BFF" w:rsidRDefault="001A1BFF">
            <w:pPr>
              <w:pStyle w:val="ConsPlusNormal"/>
              <w:jc w:val="both"/>
            </w:pPr>
            <w:r>
              <w:t>ПК 1.2. Осуществлять контроль выполнения работ по техническому обслуживанию и ремонту электрооборудования и автоматики.</w:t>
            </w:r>
          </w:p>
        </w:tc>
      </w:tr>
      <w:tr w:rsidR="001A1BFF">
        <w:tc>
          <w:tcPr>
            <w:tcW w:w="3515" w:type="dxa"/>
          </w:tcPr>
          <w:p w:rsidR="001A1BFF" w:rsidRDefault="001A1BFF">
            <w:pPr>
              <w:pStyle w:val="ConsPlusNormal"/>
            </w:pPr>
            <w:r>
              <w:t>разработка технологических процессов и нормативной документации по техническому обслуживанию и ремонту электрооборудования и автоматики на транспорте (по видам транспорта)</w:t>
            </w:r>
          </w:p>
        </w:tc>
        <w:tc>
          <w:tcPr>
            <w:tcW w:w="5556" w:type="dxa"/>
          </w:tcPr>
          <w:p w:rsidR="001A1BFF" w:rsidRDefault="001A1BFF">
            <w:pPr>
              <w:pStyle w:val="ConsPlusNormal"/>
              <w:jc w:val="both"/>
            </w:pPr>
            <w:r>
              <w:t>ПК 2.1. Разрабатывать технологические процессы технического обслуживания и ремонта деталей и узлов электрооборудования в соответствии с нормативной документацией.</w:t>
            </w:r>
          </w:p>
          <w:p w:rsidR="001A1BFF" w:rsidRDefault="001A1BFF">
            <w:pPr>
              <w:pStyle w:val="ConsPlusNormal"/>
              <w:jc w:val="both"/>
            </w:pPr>
            <w:r>
              <w:t>ПК 2.2. Оформлять конструкторскую и технологическую документацию.</w:t>
            </w:r>
          </w:p>
        </w:tc>
      </w:tr>
      <w:tr w:rsidR="001A1BFF">
        <w:tc>
          <w:tcPr>
            <w:tcW w:w="3515" w:type="dxa"/>
          </w:tcPr>
          <w:p w:rsidR="001A1BFF" w:rsidRDefault="001A1BFF">
            <w:pPr>
              <w:pStyle w:val="ConsPlusNormal"/>
            </w:pPr>
            <w:r>
              <w:t>проведение диагностирования электрооборудования и автоматики на транспорте (по видам транспорта)</w:t>
            </w:r>
          </w:p>
        </w:tc>
        <w:tc>
          <w:tcPr>
            <w:tcW w:w="5556" w:type="dxa"/>
          </w:tcPr>
          <w:p w:rsidR="001A1BFF" w:rsidRDefault="001A1BFF">
            <w:pPr>
              <w:pStyle w:val="ConsPlusNormal"/>
              <w:jc w:val="both"/>
            </w:pPr>
            <w:r>
              <w:t>ПК 3.1. Определять техническое состояние деталей, узлов и изделий электрооборудования и автоматики.</w:t>
            </w:r>
          </w:p>
          <w:p w:rsidR="001A1BFF" w:rsidRDefault="001A1BFF">
            <w:pPr>
              <w:pStyle w:val="ConsPlusNormal"/>
              <w:jc w:val="both"/>
            </w:pPr>
            <w:r>
              <w:t>ПК 3.2. Производить дефектовку деталей и узлов электрооборудования и автоматики.</w:t>
            </w:r>
          </w:p>
          <w:p w:rsidR="001A1BFF" w:rsidRDefault="001A1BFF">
            <w:pPr>
              <w:pStyle w:val="ConsPlusNormal"/>
              <w:jc w:val="both"/>
            </w:pPr>
            <w:r>
              <w:t>ПК 3.3. Прогнозировать техническое состояние изделий электрооборудования и автоматики.</w:t>
            </w:r>
          </w:p>
        </w:tc>
      </w:tr>
      <w:tr w:rsidR="001A1BFF">
        <w:tc>
          <w:tcPr>
            <w:tcW w:w="3515" w:type="dxa"/>
          </w:tcPr>
          <w:p w:rsidR="001A1BFF" w:rsidRDefault="001A1BFF">
            <w:pPr>
              <w:pStyle w:val="ConsPlusNormal"/>
            </w:pPr>
            <w:r>
              <w:t>организация деятельности коллектива исполнителей</w:t>
            </w:r>
          </w:p>
        </w:tc>
        <w:tc>
          <w:tcPr>
            <w:tcW w:w="5556" w:type="dxa"/>
          </w:tcPr>
          <w:p w:rsidR="001A1BFF" w:rsidRDefault="001A1BFF">
            <w:pPr>
              <w:pStyle w:val="ConsPlusNormal"/>
              <w:jc w:val="both"/>
            </w:pPr>
            <w:r>
              <w:t>ПК 4.1. Планировать и организовывать производственные работы коллектива исполнителей.</w:t>
            </w:r>
          </w:p>
          <w:p w:rsidR="001A1BFF" w:rsidRDefault="001A1BFF">
            <w:pPr>
              <w:pStyle w:val="ConsPlusNormal"/>
              <w:jc w:val="both"/>
            </w:pPr>
            <w:r>
              <w:t>ПК 4.2. Планировать и организовывать мероприятия по соблюдению норм безопасных условий труда.</w:t>
            </w:r>
          </w:p>
          <w:p w:rsidR="001A1BFF" w:rsidRDefault="001A1BFF">
            <w:pPr>
              <w:pStyle w:val="ConsPlusNormal"/>
              <w:jc w:val="both"/>
            </w:pPr>
            <w:r>
              <w:t>ПК 4.3. Контролировать и оценивать качество выполняемых работ.</w:t>
            </w:r>
          </w:p>
        </w:tc>
      </w:tr>
    </w:tbl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11">
        <w:r>
          <w:rPr>
            <w:color w:val="0000FF"/>
          </w:rPr>
          <w:t>пунктом 2.4</w:t>
        </w:r>
      </w:hyperlink>
      <w: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рынка труда субъекта Российской Федерации.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3.6. Обучающиеся, осваивающие образовательную программу, осваивают профессию </w:t>
      </w:r>
      <w:r>
        <w:lastRenderedPageBreak/>
        <w:t>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&lt;6&gt;.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&lt;6&gt; </w:t>
      </w:r>
      <w:hyperlink r:id="rId19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1A1BFF" w:rsidRDefault="001A1BFF">
      <w:pPr>
        <w:pStyle w:val="ConsPlusTitle"/>
        <w:jc w:val="center"/>
      </w:pPr>
      <w:r>
        <w:t>ОБРАЗОВАТЕЛЬНОЙ ПРОГРАММЫ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санитарными нормами и правилами &lt;7&gt;.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&lt;7&gt; Федеральный </w:t>
      </w:r>
      <w:hyperlink r:id="rId20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населения"; санитарные правила </w:t>
      </w:r>
      <w:hyperlink r:id="rId21">
        <w:r>
          <w:rPr>
            <w:color w:val="0000FF"/>
          </w:rPr>
          <w:t>СП 2.4.3648-20</w:t>
        </w:r>
      </w:hyperlink>
      <w: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r:id="rId22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правила и нормы </w:t>
      </w:r>
      <w:hyperlink r:id="rId23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года.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ind w:firstLine="540"/>
        <w:jc w:val="both"/>
      </w:pPr>
      <w:r>
        <w:t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Title"/>
        <w:ind w:firstLine="540"/>
        <w:jc w:val="both"/>
        <w:outlineLvl w:val="2"/>
      </w:pPr>
      <w:r>
        <w:t>4.3. Общесистемные требования к условиям реализации образовательной программы: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Title"/>
        <w:ind w:firstLine="540"/>
        <w:jc w:val="both"/>
        <w:outlineLvl w:val="2"/>
      </w:pPr>
      <w:r>
        <w:lastRenderedPageBreak/>
        <w:t>4.4. Требования к материально-техническому и учебно-методическому обеспечению реализации образовательной программы: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ж) в качестве основной литературы образовательная организация использует учебники, учебные пособия, предусмотренные ПОП;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</w:t>
      </w:r>
      <w:proofErr w:type="gramStart"/>
      <w:r>
        <w:t>процентов</w:t>
      </w:r>
      <w:proofErr w:type="gramEnd"/>
      <w:r>
        <w:t xml:space="preserve"> обучающихся к цифровой (электронной) библиотеке;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Title"/>
        <w:ind w:firstLine="540"/>
        <w:jc w:val="both"/>
        <w:outlineLvl w:val="2"/>
      </w:pPr>
      <w:r>
        <w:t>4.5. Требования к кадровым условиям реализации образовательной программы: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lastRenderedPageBreak/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anchor="P70">
        <w:r>
          <w:rPr>
            <w:color w:val="0000FF"/>
          </w:rPr>
          <w:t>пункте 1.13</w:t>
        </w:r>
      </w:hyperlink>
      <w:r>
        <w:t xml:space="preserve"> ФГОС СПО (имеющих стаж работы в данной профессиональной области не менее трех лет);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anchor="P70">
        <w:r>
          <w:rPr>
            <w:color w:val="0000FF"/>
          </w:rPr>
          <w:t>пункте 1.13</w:t>
        </w:r>
      </w:hyperlink>
      <w: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anchor="P70">
        <w:r>
          <w:rPr>
            <w:color w:val="0000FF"/>
          </w:rPr>
          <w:t>пункте 1.13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Title"/>
        <w:ind w:firstLine="540"/>
        <w:jc w:val="both"/>
        <w:outlineLvl w:val="2"/>
      </w:pPr>
      <w:r>
        <w:t>4.6. Требование к финансовым условиям реализации образовательной программы: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финансовое обеспечение реализации образовательной программы должно осуществляться в объеме не ниже базовых нормативных затрат на оказание государственной услуги по реализации имеющих государственную аккредитацию образовательных программ среднего профессионального образования по специальности с учетом корректирующих коэффициентов.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Title"/>
        <w:ind w:firstLine="540"/>
        <w:jc w:val="both"/>
        <w:outlineLvl w:val="2"/>
      </w:pPr>
      <w:r>
        <w:t>4.7. Требования к применяемым механизмам оценки качества образовательной программы: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1A1BFF" w:rsidRDefault="001A1BFF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jc w:val="both"/>
      </w:pPr>
    </w:p>
    <w:p w:rsidR="001A1BFF" w:rsidRDefault="001A1BFF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B694F" w:rsidRDefault="000B694F">
      <w:bookmarkStart w:id="7" w:name="_GoBack"/>
      <w:bookmarkEnd w:id="7"/>
    </w:p>
    <w:sectPr w:rsidR="000B694F" w:rsidSect="00DA7C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BFF"/>
    <w:rsid w:val="000B694F"/>
    <w:rsid w:val="001A1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87D04B-6D3D-418A-8B0F-CAEAE9B59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A1BF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1A1BF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1A1BFF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ZB&amp;n=398403&amp;dst=100012" TargetMode="External"/><Relationship Id="rId13" Type="http://schemas.openxmlformats.org/officeDocument/2006/relationships/hyperlink" Target="https://login.consultant.ru/link/?req=doc&amp;base=RZB&amp;n=426546&amp;dst=4" TargetMode="External"/><Relationship Id="rId18" Type="http://schemas.openxmlformats.org/officeDocument/2006/relationships/hyperlink" Target="https://login.consultant.ru/link/?req=doc&amp;base=RZB&amp;n=426546&amp;dst=4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ZB&amp;n=371594&amp;dst=100047" TargetMode="External"/><Relationship Id="rId7" Type="http://schemas.openxmlformats.org/officeDocument/2006/relationships/hyperlink" Target="https://login.consultant.ru/link/?req=doc&amp;base=RZB&amp;n=460964&amp;dst=102644" TargetMode="External"/><Relationship Id="rId12" Type="http://schemas.openxmlformats.org/officeDocument/2006/relationships/hyperlink" Target="https://login.consultant.ru/link/?req=doc&amp;base=RZB&amp;n=426546&amp;dst=4" TargetMode="External"/><Relationship Id="rId17" Type="http://schemas.openxmlformats.org/officeDocument/2006/relationships/hyperlink" Target="https://login.consultant.ru/link/?req=doc&amp;base=RZB&amp;n=214720&amp;dst=100047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214720&amp;dst=100082" TargetMode="External"/><Relationship Id="rId20" Type="http://schemas.openxmlformats.org/officeDocument/2006/relationships/hyperlink" Target="https://login.consultant.ru/link/?req=doc&amp;base=RZB&amp;n=452886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9342&amp;dst=100072" TargetMode="External"/><Relationship Id="rId11" Type="http://schemas.openxmlformats.org/officeDocument/2006/relationships/hyperlink" Target="https://login.consultant.ru/link/?req=doc&amp;base=RZB&amp;n=460964&amp;dst=100562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ZB&amp;n=470436&amp;dst=100052" TargetMode="External"/><Relationship Id="rId15" Type="http://schemas.openxmlformats.org/officeDocument/2006/relationships/hyperlink" Target="https://login.consultant.ru/link/?req=doc&amp;base=RZB&amp;n=461363&amp;dst=100249" TargetMode="External"/><Relationship Id="rId23" Type="http://schemas.openxmlformats.org/officeDocument/2006/relationships/hyperlink" Target="https://login.consultant.ru/link/?req=doc&amp;base=RZB&amp;n=441707&amp;dst=100137" TargetMode="External"/><Relationship Id="rId10" Type="http://schemas.openxmlformats.org/officeDocument/2006/relationships/hyperlink" Target="https://login.consultant.ru/link/?req=doc&amp;base=RZB&amp;n=460964&amp;dst=102644" TargetMode="External"/><Relationship Id="rId19" Type="http://schemas.openxmlformats.org/officeDocument/2006/relationships/hyperlink" Target="https://login.consultant.ru/link/?req=doc&amp;base=RZB&amp;n=461363&amp;dst=415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460964&amp;dst=102644" TargetMode="External"/><Relationship Id="rId14" Type="http://schemas.openxmlformats.org/officeDocument/2006/relationships/hyperlink" Target="https://login.consultant.ru/link/?req=doc&amp;base=RZB&amp;n=461363&amp;dst=774" TargetMode="External"/><Relationship Id="rId22" Type="http://schemas.openxmlformats.org/officeDocument/2006/relationships/hyperlink" Target="https://login.consultant.ru/link/?req=doc&amp;base=RZB&amp;n=367564&amp;dst=10003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4915</Words>
  <Characters>28016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2024-05-07T07:35:00Z</dcterms:created>
  <dcterms:modified xsi:type="dcterms:W3CDTF">2024-05-07T07:35:00Z</dcterms:modified>
</cp:coreProperties>
</file>