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13.07.2023 N 528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15.01.29 Контролер качества в машиностроении"</w:t>
              <w:br/>
              <w:t xml:space="preserve">(Зарегистрировано в Минюсте России 17.08.2023 N 74856)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24.06.2025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17 августа 2023 г. N 74856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13 июля 2023 г. N 528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</w:t>
      </w:r>
    </w:p>
    <w:p>
      <w:pPr>
        <w:pStyle w:val="2"/>
        <w:jc w:val="center"/>
      </w:pPr>
      <w:r>
        <w:rPr>
          <w:sz w:val="20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ПРОФЕССИИ 15.01.29</w:t>
      </w:r>
    </w:p>
    <w:p>
      <w:pPr>
        <w:pStyle w:val="2"/>
        <w:jc w:val="center"/>
      </w:pPr>
      <w:r>
        <w:rPr>
          <w:sz w:val="20"/>
        </w:rPr>
        <w:t xml:space="preserve">КОНТРОЛЕР КАЧЕСТВА В МАШИНОСТРОЕНИИ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7" w:tooltip="Постановление Правительства РФ от 28.07.2018 N 884 (ред. от 21.02.2025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подпунктом 4.2.30 пункта 4</w:t>
        </w:r>
      </w:hyperlink>
      <w:r>
        <w:rPr>
          <w:sz w:val="20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w:history="0" r:id="rId8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пунктом 27</w:t>
        </w:r>
      </w:hyperlink>
      <w:r>
        <w:rPr>
          <w:sz w:val="20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федеральный государственный образовательный </w:t>
      </w:r>
      <w:hyperlink w:history="0" w:anchor="P32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профессионального образования по профессии 15.01.29 Контролер качества в машиностроении (далее - стандарт).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Установить, что: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вправе осуществлять в соответствии со </w:t>
      </w:r>
      <w:hyperlink w:history="0" w:anchor="P32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прием на обучение в соответствии с федеральным государственным образовательным </w:t>
      </w:r>
      <w:hyperlink w:history="0" r:id="rId9" w:tooltip="Приказ Минобрнауки России от 02.08.2013 N 818 (ред. от 01.09.2022) &quot;Об утверждении федерального государственного образовательного стандарта среднего профессионального образования по профессии 151903.01 Контролер станочных и слесарных работ&quot; (Зарегистрировано в Минюсте России 20.08.2013 N 29633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профессии </w:t>
      </w:r>
      <w:hyperlink w:history="0" r:id="rId10" w:tooltip="Приказ Минобрнауки России от 05.06.2014 N 632 (ред. от 25.11.2016) &quot;Об установлении соответствия профессий и специальностей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, профессиям начального профессионального образования, перечень которых утвержден приказом Министерства образования и науки Российской Федерации от 28 сентября 2009 г. N 354, и специальностям среднего профессионального образования {КонсультантПлюс}">
        <w:r>
          <w:rPr>
            <w:sz w:val="20"/>
            <w:color w:val="0000ff"/>
          </w:rPr>
          <w:t xml:space="preserve">151903.01</w:t>
        </w:r>
      </w:hyperlink>
      <w:r>
        <w:rPr>
          <w:sz w:val="20"/>
        </w:rPr>
        <w:t xml:space="preserve"> Контролер станочных и слесарных работ, утвержденным приказом Министерства образования и науки Российской Федерации от 2 августа 2013 г. N 818 (зарегистрирован Министерством юстиции Российской Федерации 20 августа 2013 г., регистрационный N 29633), с изменениями, внесенными приказом Министерства образования и науки Российской Федерации от 9 апреля 2015 г. N 390 (зарегистрирован Министерством юстиции Российской Федерации 8 мая 2015 г., регистрационный N 37199)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 и от 1 сентября 2022 г. N 796 (зарегистрирован Министерством юстиции Российской Федерации 11 октября 2022 г., регистрационный N 70461), прекращается с 31 декабря 2023 года.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С.С.КРАВЦОВ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13 июля 2023 г. N 528</w:t>
      </w:r>
    </w:p>
    <w:p>
      <w:pPr>
        <w:pStyle w:val="0"/>
        <w:jc w:val="both"/>
      </w:pPr>
      <w:r>
        <w:rPr>
          <w:sz w:val="20"/>
        </w:rPr>
      </w:r>
    </w:p>
    <w:bookmarkStart w:id="32" w:name="P32"/>
    <w:bookmarkEnd w:id="32"/>
    <w:p>
      <w:pPr>
        <w:pStyle w:val="2"/>
        <w:jc w:val="center"/>
      </w:pPr>
      <w:r>
        <w:rPr>
          <w:sz w:val="20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ПРОФЕССИИ 15.01.29</w:t>
      </w:r>
    </w:p>
    <w:p>
      <w:pPr>
        <w:pStyle w:val="2"/>
        <w:jc w:val="center"/>
      </w:pPr>
      <w:r>
        <w:rPr>
          <w:sz w:val="20"/>
        </w:rPr>
        <w:t xml:space="preserve">КОНТРОЛЕР КАЧЕСТВА В МАШИНОСТРОЕНИИ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ОБЩИЕ ПОЛОЖЕНИЯ</w:t>
      </w:r>
    </w:p>
    <w:p>
      <w:pPr>
        <w:pStyle w:val="0"/>
        <w:jc w:val="both"/>
      </w:pPr>
      <w:r>
        <w:rPr>
          <w:sz w:val="20"/>
        </w:rPr>
      </w:r>
    </w:p>
    <w:bookmarkStart w:id="38" w:name="P38"/>
    <w:bookmarkEnd w:id="38"/>
    <w:p>
      <w:pPr>
        <w:pStyle w:val="0"/>
        <w:ind w:firstLine="540"/>
        <w:jc w:val="both"/>
      </w:pPr>
      <w:r>
        <w:rPr>
          <w:sz w:val="20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</w:t>
      </w:r>
      <w:hyperlink w:history="0" r:id="rId11" w:tooltip="Приказ Минпросвещения России от 17.05.2022 N 336 (ред. от 25.03.2025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0"/>
            <w:color w:val="0000ff"/>
          </w:rPr>
          <w:t xml:space="preserve">15.01.29</w:t>
        </w:r>
      </w:hyperlink>
      <w:r>
        <w:rPr>
          <w:sz w:val="20"/>
        </w:rPr>
        <w:t xml:space="preserve"> Контролер качества в машиностроении (далее соответственно - ФГОС СПО, образовательная программа, профессия) в соответствии с квалификацией квалифицированного рабочего, служащего "контролер качества"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12" w:tooltip="Приказ Минпросвещения России от 17.05.2022 N 336 (ред. от 25.03.2025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0"/>
            <w:color w:val="0000ff"/>
          </w:rPr>
          <w:t xml:space="preserve">Перечень</w:t>
        </w:r>
      </w:hyperlink>
      <w:r>
        <w:rPr>
          <w:sz w:val="20"/>
        </w:rPr>
        <w:t xml:space="preserve"> профессий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приказом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1.2.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3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стандарта</w:t>
        </w:r>
      </w:hyperlink>
      <w:r>
        <w:rPr>
          <w:sz w:val="20"/>
        </w:rPr>
        <w:t xml:space="preserve"> среднего общего образования &lt;2&gt; и ФГОС СПО с учетом получаемой профессии.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Федеральный государственный образовательный </w:t>
      </w:r>
      <w:hyperlink w:history="0" r:id="rId14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1.4. Обучение по образовательной программе в образовательной организации осуществляется в очной и очно-заочной формах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</w:t>
      </w:r>
      <w:hyperlink w:history="0" r:id="rId15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2 статьи 12.1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&lt;4&gt; </w:t>
      </w:r>
      <w:hyperlink w:history="0" r:id="rId16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Статья 14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0"/>
        </w:rPr>
      </w:r>
    </w:p>
    <w:bookmarkStart w:id="60" w:name="P60"/>
    <w:bookmarkEnd w:id="60"/>
    <w:p>
      <w:pPr>
        <w:pStyle w:val="0"/>
        <w:ind w:firstLine="540"/>
        <w:jc w:val="both"/>
      </w:pPr>
      <w:r>
        <w:rPr>
          <w:sz w:val="20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среднего общего образования - 1 год 10 месяцев;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основного общего образования - 2 года 10 месяцев.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получения образования по образовательной программе в очно-заочной форме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1.11. Конкретный срок получения образования в очно-заочной форме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0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0"/>
            <w:color w:val="0000ff"/>
          </w:rPr>
          <w:t xml:space="preserve">пунктом 1.9</w:t>
        </w:r>
      </w:hyperlink>
      <w:r>
        <w:rPr>
          <w:sz w:val="20"/>
        </w:rPr>
        <w:t xml:space="preserve"> ФГОС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&lt;5&gt; </w:t>
      </w:r>
      <w:hyperlink w:history="0" r:id="rId17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0"/>
            <w:color w:val="0000ff"/>
          </w:rPr>
          <w:t xml:space="preserve">Пункт 11</w:t>
        </w:r>
      </w:hyperlink>
      <w:r>
        <w:rPr>
          <w:sz w:val="20"/>
        </w:rP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387, действующим до 1 января 2026 г.</w:t>
      </w:r>
    </w:p>
    <w:p>
      <w:pPr>
        <w:pStyle w:val="0"/>
        <w:jc w:val="both"/>
      </w:pPr>
      <w:r>
        <w:rPr>
          <w:sz w:val="20"/>
        </w:rPr>
      </w:r>
    </w:p>
    <w:bookmarkStart w:id="72" w:name="P72"/>
    <w:bookmarkEnd w:id="72"/>
    <w:p>
      <w:pPr>
        <w:pStyle w:val="0"/>
        <w:ind w:firstLine="540"/>
        <w:jc w:val="both"/>
      </w:pPr>
      <w:r>
        <w:rPr>
          <w:sz w:val="20"/>
        </w:rP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w:history="0" r:id="rId18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25</w:t>
        </w:r>
      </w:hyperlink>
      <w:r>
        <w:rPr>
          <w:sz w:val="20"/>
        </w:rPr>
        <w:t xml:space="preserve"> Ракетно-космическая промышленность, </w:t>
      </w:r>
      <w:hyperlink w:history="0" r:id="rId19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27</w:t>
        </w:r>
      </w:hyperlink>
      <w:r>
        <w:rPr>
          <w:sz w:val="20"/>
        </w:rPr>
        <w:t xml:space="preserve"> Металлургическое производство, </w:t>
      </w:r>
      <w:hyperlink w:history="0" r:id="rId20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28</w:t>
        </w:r>
      </w:hyperlink>
      <w:r>
        <w:rPr>
          <w:sz w:val="20"/>
        </w:rPr>
        <w:t xml:space="preserve"> Производство машин и оборудования, </w:t>
      </w:r>
      <w:hyperlink w:history="0" r:id="rId21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31</w:t>
        </w:r>
      </w:hyperlink>
      <w:r>
        <w:rPr>
          <w:sz w:val="20"/>
        </w:rPr>
        <w:t xml:space="preserve"> Автомобилестроение, </w:t>
      </w:r>
      <w:hyperlink w:history="0" r:id="rId22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32</w:t>
        </w:r>
      </w:hyperlink>
      <w:r>
        <w:rPr>
          <w:sz w:val="20"/>
        </w:rPr>
        <w:t xml:space="preserve"> Авиастроение, </w:t>
      </w:r>
      <w:hyperlink w:history="0" r:id="rId23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40</w:t>
        </w:r>
      </w:hyperlink>
      <w:r>
        <w:rPr>
          <w:sz w:val="20"/>
        </w:rPr>
        <w:t xml:space="preserve"> Сквозные виды профессиональной деятельности в промышленности &lt;6&gt;.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&lt;6&gt; </w:t>
      </w:r>
      <w:hyperlink w:history="0" r:id="rId24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Таблица</w:t>
        </w:r>
      </w:hyperlink>
      <w:r>
        <w:rPr>
          <w:sz w:val="20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1.15. При разработке образовательной программы образовательная организация устанавливает направленность, которая соответствует профессии в целом, с учетом соответствующей ПОП.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Структура и объем образовательной программы </w:t>
      </w:r>
      <w:hyperlink w:history="0" w:anchor="P88" w:tooltip="Структура и объем образовательной программы">
        <w:r>
          <w:rPr>
            <w:sz w:val="20"/>
            <w:color w:val="0000ff"/>
          </w:rPr>
          <w:t xml:space="preserve">(таблица N 1)</w:t>
        </w:r>
      </w:hyperlink>
      <w:r>
        <w:rPr>
          <w:sz w:val="20"/>
        </w:rPr>
        <w:t xml:space="preserve"> включает: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дисциплины (модули);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практику;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N 1</w:t>
      </w:r>
    </w:p>
    <w:p>
      <w:pPr>
        <w:pStyle w:val="0"/>
        <w:jc w:val="both"/>
      </w:pPr>
      <w:r>
        <w:rPr>
          <w:sz w:val="20"/>
        </w:rPr>
      </w:r>
    </w:p>
    <w:bookmarkStart w:id="88" w:name="P88"/>
    <w:bookmarkEnd w:id="88"/>
    <w:p>
      <w:pPr>
        <w:pStyle w:val="0"/>
        <w:jc w:val="center"/>
      </w:pPr>
      <w:r>
        <w:rPr>
          <w:sz w:val="20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10"/>
        <w:gridCol w:w="4035"/>
      </w:tblGrid>
      <w:tr>
        <w:tc>
          <w:tcPr>
            <w:tcW w:w="50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Структура образовательной программы</w:t>
            </w:r>
          </w:p>
        </w:tc>
        <w:tc>
          <w:tcPr>
            <w:tcW w:w="403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5010" w:type="dxa"/>
            <w:vAlign w:val="bottom"/>
          </w:tcPr>
          <w:p>
            <w:pPr>
              <w:pStyle w:val="0"/>
            </w:pPr>
            <w:r>
              <w:rPr>
                <w:sz w:val="20"/>
              </w:rPr>
              <w:t xml:space="preserve">Дисциплины (модули)</w:t>
            </w:r>
          </w:p>
        </w:tc>
        <w:tc>
          <w:tcPr>
            <w:tcW w:w="4035" w:type="dxa"/>
            <w:vAlign w:val="bottom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Не менее 1260</w:t>
            </w:r>
          </w:p>
        </w:tc>
      </w:tr>
      <w:tr>
        <w:tc>
          <w:tcPr>
            <w:tcW w:w="5010" w:type="dxa"/>
            <w:vAlign w:val="bottom"/>
          </w:tcPr>
          <w:p>
            <w:pPr>
              <w:pStyle w:val="0"/>
            </w:pPr>
            <w:r>
              <w:rPr>
                <w:sz w:val="20"/>
              </w:rPr>
              <w:t xml:space="preserve">Практика</w:t>
            </w:r>
          </w:p>
        </w:tc>
        <w:tc>
          <w:tcPr>
            <w:tcW w:w="4035" w:type="dxa"/>
            <w:vAlign w:val="bottom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Не менее 1044</w:t>
            </w:r>
          </w:p>
        </w:tc>
      </w:tr>
      <w:tr>
        <w:tc>
          <w:tcPr>
            <w:tcW w:w="5010" w:type="dxa"/>
            <w:vAlign w:val="bottom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4035" w:type="dxa"/>
            <w:vAlign w:val="bottom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</w:t>
            </w:r>
          </w:p>
        </w:tc>
      </w:tr>
      <w:tr>
        <w:tc>
          <w:tcPr>
            <w:gridSpan w:val="2"/>
            <w:tcW w:w="9045" w:type="dxa"/>
            <w:vAlign w:val="bottom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5010" w:type="dxa"/>
            <w:vAlign w:val="bottom"/>
          </w:tcPr>
          <w:p>
            <w:pPr>
              <w:pStyle w:val="0"/>
            </w:pPr>
            <w:r>
              <w:rPr>
                <w:sz w:val="20"/>
              </w:rPr>
              <w:t xml:space="preserve">на базе среднего общего образования</w:t>
            </w:r>
          </w:p>
        </w:tc>
        <w:tc>
          <w:tcPr>
            <w:tcW w:w="4035" w:type="dxa"/>
            <w:vAlign w:val="bottom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2952</w:t>
            </w:r>
          </w:p>
        </w:tc>
      </w:tr>
      <w:tr>
        <w:tc>
          <w:tcPr>
            <w:tcW w:w="5010" w:type="dxa"/>
            <w:vAlign w:val="bottom"/>
          </w:tcPr>
          <w:p>
            <w:pPr>
              <w:pStyle w:val="0"/>
            </w:pPr>
            <w:r>
              <w:rPr>
                <w:sz w:val="20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03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4428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2.2. Образовательная программа включает: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социально-гуманитарный цикл;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общепрофессиональный цикл;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профессиональный цикл.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31" w:tooltip="III. ТРЕБОВАНИЯ К РЕЗУЛЬТАТАМ ОСВОЕНИЯ">
        <w:r>
          <w:rPr>
            <w:sz w:val="20"/>
            <w:color w:val="0000ff"/>
          </w:rPr>
          <w:t xml:space="preserve">главой III</w:t>
        </w:r>
      </w:hyperlink>
      <w:r>
        <w:rPr>
          <w:sz w:val="20"/>
        </w:rPr>
        <w:t xml:space="preserve"> ФГОС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Объем обязательной части без учета объема государственной итоговой аттестации должен составлять не более 80 процентов от общего объема времени, отведенного на освоение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Вариативная часть образовательной программы объемом не менее 20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bookmarkStart w:id="113" w:name="P113"/>
    <w:bookmarkEnd w:id="11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контроль качества и прием деталей после механической и слесарной обработки, узлов конструкций и рабочих механизмов после их сборки;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контроль сборки под сварку, работ по сварке и сварных соединений изделий, узлов и конструкций из углеродистых и низколегированных сталей и сплавов и полимерных материалов.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3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0"/>
            <w:color w:val="0000ff"/>
          </w:rPr>
          <w:t xml:space="preserve">пункте 2.4</w:t>
        </w:r>
      </w:hyperlink>
      <w:r>
        <w:rPr>
          <w:sz w:val="20"/>
        </w:rPr>
        <w:t xml:space="preserve"> ФГОС СПО, в рамках вариативной части.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Общий объем дисциплины "Безопасность жизнедеятельности" в очной форме обучения не может быть менее 36 академических часов, из них на освоение основ военной службы (для юношей) - не менее 24 академических часов;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"Техническая графика", "Основы метрологии, стандартизации и сертификации", "Средства измерения", "Технические измерения", "Основы материаловедения", "Охрана труда и экологическая безопасность", "Основы организации производства и правовые основы профессиональной деятельности", "Организационно-экономические основы бережливого производства".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history="0" w:anchor="P113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8 зачетных единиц.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2.12. Государственная итоговая аттестация проводится в форме демонстрационного экзамена.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history="0" w:anchor="P38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15.01.29 Контролер качества в машиностроении (далее соответственно - ФГОС СПО, образовательная программа, профессия) в соответствии с квалификацией квалифицированного рабочего, служащего &quot;контроле...">
        <w:r>
          <w:rPr>
            <w:sz w:val="20"/>
            <w:color w:val="0000ff"/>
          </w:rPr>
          <w:t xml:space="preserve">пункте 1.1</w:t>
        </w:r>
      </w:hyperlink>
      <w:r>
        <w:rPr>
          <w:sz w:val="20"/>
        </w:rPr>
        <w:t xml:space="preserve"> ФГОС СПО.</w:t>
      </w:r>
    </w:p>
    <w:p>
      <w:pPr>
        <w:pStyle w:val="0"/>
        <w:jc w:val="both"/>
      </w:pPr>
      <w:r>
        <w:rPr>
          <w:sz w:val="20"/>
        </w:rPr>
      </w:r>
    </w:p>
    <w:bookmarkStart w:id="131" w:name="P131"/>
    <w:bookmarkEnd w:id="131"/>
    <w:p>
      <w:pPr>
        <w:pStyle w:val="2"/>
        <w:outlineLvl w:val="1"/>
        <w:jc w:val="center"/>
      </w:pPr>
      <w:r>
        <w:rPr>
          <w:sz w:val="20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0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history="0" w:anchor="P113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N 2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000"/>
        <w:gridCol w:w="6052"/>
      </w:tblGrid>
      <w:tr>
        <w:tc>
          <w:tcPr>
            <w:tcW w:w="30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Виды деятельности</w:t>
            </w:r>
          </w:p>
        </w:tc>
        <w:tc>
          <w:tcPr>
            <w:tcW w:w="605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30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605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tcW w:w="3000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контроль качества и прием деталей после механической и слесарной обработки, узлов конструкций и рабочих механизмов после их сборки</w:t>
            </w:r>
          </w:p>
        </w:tc>
        <w:tc>
          <w:tcPr>
            <w:tcW w:w="6052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1.1. Осуществлять контроль качества деталей после механической и слесарной обработки, узлов конструкций и рабочих механизмов после их сборки.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1.2. Проводить приемку деталей после механической и слесарной обработки, узлов конструкций и рабочих механизмов после их сборки.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1.3. Классифицировать брак и устанавливать причину его возникновения.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1.4. Проводить испытания узлов, конструкций и частей машин.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1.5. Проверять станки на точность.</w:t>
            </w:r>
          </w:p>
        </w:tc>
      </w:tr>
      <w:tr>
        <w:tc>
          <w:tcPr>
            <w:tcW w:w="3000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контроль сборки под сварку, работ по сварке и сварных соединений изделий, узлов и конструкций из углеродистых и низколегированных сталей и сплавов и полимерных материалов</w:t>
            </w:r>
          </w:p>
        </w:tc>
        <w:tc>
          <w:tcPr>
            <w:tcW w:w="6052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2.1. Осуществлять контроль сборки под сварку изделий, узлов и конструкций из углеродистых и низколегированных сталей и сплавов.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2.2. Осуществлять контроль работ по сварке и сварных соединений изделий, узлов и конструкций из углеродистых и низколегированных сталей и сплавов и полимерных материалов.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2.3. Производить контроль сборки под сварку изделий, узлов и конструкций из разнородных сталей, черных и цветных металлов и сплавов и полимерных материалов.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2.4. Осуществлять контроль работ по сварке и сварных соединений изделий, узлов и конструкций из разнородных сталей, черных и цветных металлов и сплавов и полимерных материалов.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13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&lt;7&gt; </w:t>
      </w:r>
      <w:hyperlink w:history="0" r:id="rId25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7 статьи 73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0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&lt;8&gt; Федеральный </w:t>
      </w:r>
      <w:hyperlink w:history="0" r:id="rId26" w:tooltip="Федеральный закон от 30.03.1999 N 52-ФЗ (ред. от 26.12.2024) &quot;О санитарно-эпидемиологическом благополучии населения&quot; (с изм. и доп., вступ. в силу с 01.03.2025)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от 30 марта 1999 г. N 52-ФЗ "О санитарно-эпидемиологическом благополучии населения"; санитарные правила </w:t>
      </w:r>
      <w:hyperlink w:history="0" r:id="rId27" w:tooltip="Постановление Главного государственного санитарного врача РФ от 28.09.2020 N 28 (ред. от 30.08.2024)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СП 2.4.3648-20</w:t>
        </w:r>
      </w:hyperlink>
      <w:r>
        <w:rPr>
          <w:sz w:val="20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w:history="0" r:id="rId28" w:tooltip="Постановление Главного государственного санитарного врача РФ от 27.10.2020 N 32 (ред. от 22.08.2024)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0"/>
            <w:color w:val="0000ff"/>
          </w:rPr>
          <w:t xml:space="preserve">СанПиН 2.3/2.4.3590-20</w:t>
        </w:r>
      </w:hyperlink>
      <w:r>
        <w:rPr>
          <w:sz w:val="20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w:history="0" r:id="rId29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СанПиН 1.2.3685-21</w:t>
        </w:r>
      </w:hyperlink>
      <w:r>
        <w:rPr>
          <w:sz w:val="20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года.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history="0" w:anchor="P72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5 Ракетно-космическая промышленность, 27 Металлургическое производство, 28 Производство машин и оборудования, 31 Автомобилестроение, 32 Авиастроение, 40 Сквозные виды профессиональной деятельности в промышленности &lt;6&gt;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 (имеющих стаж работы в данной профессиональной области не менее 3 лет);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2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5 Ракетно-космическая промышленность, 27 Металлургическое производство, 28 Производство машин и оборудования, 31 Автомобилестроение, 32 Авиастроение, 40 Сквозные виды профессиональной деятельности в промышленности &lt;6&gt;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доля педагогических работников (в приведенных к целочисленным значениям ставок), имеющих опыт деятельности не менее 3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2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5 Ракетно-космическая промышленность, 27 Металлургическое производство, 28 Производство машин и оборудования, 31 Автомобилестроение, 32 Авиастроение, 40 Сквозные виды профессиональной деятельности в промышленности &lt;6&gt;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w:history="0" r:id="rId30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29 декабря 2012 г. N 273-ФЗ "Об образовании в Российской Федерации".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&lt;9&gt; Бюджетный </w:t>
      </w:r>
      <w:hyperlink w:history="0" r:id="rId31" w:tooltip="&quot;Бюджетный кодекс Российской Федерации&quot; от 31.07.1998 N 145-ФЗ (ред. от 21.04.2025) (с изм. и доп., вступ. в силу с 01.06.2025) {КонсультантПлюс}">
        <w:r>
          <w:rPr>
            <w:sz w:val="20"/>
            <w:color w:val="0000ff"/>
          </w:rPr>
          <w:t xml:space="preserve">кодекс</w:t>
        </w:r>
      </w:hyperlink>
      <w:r>
        <w:rPr>
          <w:sz w:val="20"/>
        </w:rPr>
        <w:t xml:space="preserve"> Российской Федерации.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13.07.2023 N 528</w:t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24.06.2025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RZR&amp;n=499281&amp;dst=100051" TargetMode = "External"/>
	<Relationship Id="rId8" Type="http://schemas.openxmlformats.org/officeDocument/2006/relationships/hyperlink" Target="https://login.consultant.ru/link/?req=doc&amp;base=RZR&amp;n=481262&amp;dst=100072" TargetMode = "External"/>
	<Relationship Id="rId9" Type="http://schemas.openxmlformats.org/officeDocument/2006/relationships/hyperlink" Target="https://login.consultant.ru/link/?req=doc&amp;base=RZR&amp;n=429119&amp;dst=100012" TargetMode = "External"/>
	<Relationship Id="rId10" Type="http://schemas.openxmlformats.org/officeDocument/2006/relationships/hyperlink" Target="https://login.consultant.ru/link/?req=doc&amp;base=RZR&amp;n=208784&amp;dst=100393" TargetMode = "External"/>
	<Relationship Id="rId11" Type="http://schemas.openxmlformats.org/officeDocument/2006/relationships/hyperlink" Target="https://login.consultant.ru/link/?req=doc&amp;base=RZR&amp;n=504657&amp;dst=15" TargetMode = "External"/>
	<Relationship Id="rId12" Type="http://schemas.openxmlformats.org/officeDocument/2006/relationships/hyperlink" Target="https://login.consultant.ru/link/?req=doc&amp;base=RZR&amp;n=504657&amp;dst=100022" TargetMode = "External"/>
	<Relationship Id="rId13" Type="http://schemas.openxmlformats.org/officeDocument/2006/relationships/hyperlink" Target="https://login.consultant.ru/link/?req=doc&amp;base=RZR&amp;n=470946&amp;dst=4" TargetMode = "External"/>
	<Relationship Id="rId14" Type="http://schemas.openxmlformats.org/officeDocument/2006/relationships/hyperlink" Target="https://login.consultant.ru/link/?req=doc&amp;base=RZR&amp;n=470946&amp;dst=4" TargetMode = "External"/>
	<Relationship Id="rId15" Type="http://schemas.openxmlformats.org/officeDocument/2006/relationships/hyperlink" Target="https://login.consultant.ru/link/?req=doc&amp;base=RZR&amp;n=505886&amp;dst=774" TargetMode = "External"/>
	<Relationship Id="rId16" Type="http://schemas.openxmlformats.org/officeDocument/2006/relationships/hyperlink" Target="https://login.consultant.ru/link/?req=doc&amp;base=RZR&amp;n=505886&amp;dst=100249" TargetMode = "External"/>
	<Relationship Id="rId17" Type="http://schemas.openxmlformats.org/officeDocument/2006/relationships/hyperlink" Target="https://login.consultant.ru/link/?req=doc&amp;base=RZR&amp;n=411930&amp;dst=100030" TargetMode = "External"/>
	<Relationship Id="rId18" Type="http://schemas.openxmlformats.org/officeDocument/2006/relationships/hyperlink" Target="https://login.consultant.ru/link/?req=doc&amp;base=RZR&amp;n=214720&amp;dst=100098" TargetMode = "External"/>
	<Relationship Id="rId19" Type="http://schemas.openxmlformats.org/officeDocument/2006/relationships/hyperlink" Target="https://login.consultant.ru/link/?req=doc&amp;base=RZR&amp;n=214720&amp;dst=100102" TargetMode = "External"/>
	<Relationship Id="rId20" Type="http://schemas.openxmlformats.org/officeDocument/2006/relationships/hyperlink" Target="https://login.consultant.ru/link/?req=doc&amp;base=RZR&amp;n=214720&amp;dst=100104" TargetMode = "External"/>
	<Relationship Id="rId21" Type="http://schemas.openxmlformats.org/officeDocument/2006/relationships/hyperlink" Target="https://login.consultant.ru/link/?req=doc&amp;base=RZR&amp;n=214720&amp;dst=100110" TargetMode = "External"/>
	<Relationship Id="rId22" Type="http://schemas.openxmlformats.org/officeDocument/2006/relationships/hyperlink" Target="https://login.consultant.ru/link/?req=doc&amp;base=RZR&amp;n=214720&amp;dst=100112" TargetMode = "External"/>
	<Relationship Id="rId23" Type="http://schemas.openxmlformats.org/officeDocument/2006/relationships/hyperlink" Target="https://login.consultant.ru/link/?req=doc&amp;base=RZR&amp;n=214720&amp;dst=100116" TargetMode = "External"/>
	<Relationship Id="rId24" Type="http://schemas.openxmlformats.org/officeDocument/2006/relationships/hyperlink" Target="https://login.consultant.ru/link/?req=doc&amp;base=RZR&amp;n=214720&amp;dst=100047" TargetMode = "External"/>
	<Relationship Id="rId25" Type="http://schemas.openxmlformats.org/officeDocument/2006/relationships/hyperlink" Target="https://login.consultant.ru/link/?req=doc&amp;base=RZR&amp;n=505886&amp;dst=415" TargetMode = "External"/>
	<Relationship Id="rId26" Type="http://schemas.openxmlformats.org/officeDocument/2006/relationships/hyperlink" Target="https://login.consultant.ru/link/?req=doc&amp;base=RZR&amp;n=484629" TargetMode = "External"/>
	<Relationship Id="rId27" Type="http://schemas.openxmlformats.org/officeDocument/2006/relationships/hyperlink" Target="https://login.consultant.ru/link/?req=doc&amp;base=RZR&amp;n=486034&amp;dst=100047" TargetMode = "External"/>
	<Relationship Id="rId28" Type="http://schemas.openxmlformats.org/officeDocument/2006/relationships/hyperlink" Target="https://login.consultant.ru/link/?req=doc&amp;base=RZR&amp;n=494597&amp;dst=100037" TargetMode = "External"/>
	<Relationship Id="rId29" Type="http://schemas.openxmlformats.org/officeDocument/2006/relationships/hyperlink" Target="https://login.consultant.ru/link/?req=doc&amp;base=RZR&amp;n=441707&amp;dst=100137" TargetMode = "External"/>
	<Relationship Id="rId30" Type="http://schemas.openxmlformats.org/officeDocument/2006/relationships/hyperlink" Target="https://login.consultant.ru/link/?req=doc&amp;base=RZR&amp;n=505886" TargetMode = "External"/>
	<Relationship Id="rId31" Type="http://schemas.openxmlformats.org/officeDocument/2006/relationships/hyperlink" Target="https://login.consultant.ru/link/?req=doc&amp;base=RZR&amp;n=500021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4025.00.02</Application>
  <Company>КонсультантПлюс Версия 4025.00.02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13.07.2023 N 528
"Об утверждении федерального государственного образовательного стандарта среднего профессионального образования по профессии 15.01.29 Контролер качества в машиностроении"
(Зарегистрировано в Минюсте России 17.08.2023 N 74856)</dc:title>
  <dcterms:created xsi:type="dcterms:W3CDTF">2025-06-24T10:28:00Z</dcterms:created>
</cp:coreProperties>
</file>