
<file path=[Content_Types].xml><?xml version="1.0" encoding="utf-8"?>
<Types xmlns="http://schemas.openxmlformats.org/package/2006/content-types">
  <Default Extension="png" ContentType="image/png"/>
  <Default Extension="jpeg" ContentType="image/jpeg"/>
  <Default Extension="bmp" ContentType="image/bmp"/>
  <Default Extension="rels" ContentType="application/vnd.openxmlformats-package.relationships+xml"/>
  <Default Extension="xml" ContentType="application/xml"/>
  <Default Extension="emf" ContentType="image/x-emf"/>
  <Default Extension="wmf" ContentType="image/x-wmf"/>
  <Override PartName="/word/document.xml" ContentType="application/vnd.openxmlformats-officedocument.wordprocessingml.document.main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</Types>
</file>

<file path=_rels/.rels>&#65279;<?xml version="1.0" encoding="UTF-8" standalone="yes"?>
<Relationships xmlns="http://schemas.openxmlformats.org/package/2006/relationships">
	<Relationship Id="rId1" Type="http://schemas.openxmlformats.org/officeDocument/2006/relationships/officeDocument" Target="word/document.xml"/>
	<Relationship Id="rId2" Type="http://schemas.openxmlformats.org/package/2006/relationships/metadata/core-properties" Target="docProps/core.xml"/>
	<Relationship Id="rId3" Type="http://schemas.openxmlformats.org/officeDocument/2006/relationships/extended-properties" Target="docProps/app.xml"/>
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Ind w:w="0" w:type="dxa"/>
        <w:tblW w:w="5000" w:type="pct"/>
        <w:tblBorders>
          <w:top w:val="nil"/>
          <w:left w:val="nil"/>
          <w:bottom w:val="nil"/>
          <w:right w:val="nil"/>
          <w:insideV w:val="nil"/>
          <w:insideH w:val="nil"/>
        </w:tblBorders>
      </w:tblPr>
      <w:tblGrid>
        <w:gridCol w:w="10716"/>
      </w:tblGrid>
      <w:tr>
        <w:trPr>
          <w:trHeight w:val="3031" w:hRule="exact"/>
        </w:trPr>
        <w:tblPrEx>
          <w:tblBorders>
            <w:top w:val="nil"/>
            <w:left w:val="nil"/>
            <w:bottom w:val="nil"/>
            <w:right w:val="nil"/>
            <w:insideV w:val="nil"/>
            <w:insideH w:val="nil"/>
          </w:tblBorders>
        </w:tblPrEx>
        <w:tc>
          <w:tcPr>
            <w:tcW w:w="10716" w:type="dxa"/>
            <w:tcMar>
              <w:top w:w="60" w:type="dxa"/>
              <w:left w:w="80" w:type="dxa"/>
              <w:bottom w:w="60" w:type="dxa"/>
              <w:right w:w="80" w:type="dxa"/>
            </w:tcMar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5"/>
            </w:pPr>
            <w:r>
              <w:rPr>
                <w:position w:val="-61"/>
              </w:rPr>
              <w:drawing>
                <wp:inline distT="0" distB="0" distL="0" distR="0">
                  <wp:extent cx="3810000" cy="904875"/>
                  <wp:effectExtent l="0" t="0" r="0" b="0"/>
                  <wp:docPr id="1" name="Консультант Плюс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 preferRelativeResize="0"/>
                        </pic:nvPicPr>
                        <pic:blipFill>
                          <a:blip r:embed="rId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810000" cy="904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val="8335" w:hRule="exact"/>
        </w:trPr>
        <w:tblPrEx>
          <w:tblBorders>
            <w:top w:val="nil"/>
            <w:left w:val="nil"/>
            <w:bottom w:val="nil"/>
            <w:right w:val="nil"/>
            <w:insideV w:val="nil"/>
            <w:insideH w:val="nil"/>
          </w:tblBorders>
        </w:tblPrEx>
        <w:tc>
          <w:tcPr>
            <w:tcW w:w="10716" w:type="dxa"/>
            <w:vAlign w:val="center"/>
            <w:tcMar>
              <w:top w:w="60" w:type="dxa"/>
              <w:left w:w="80" w:type="dxa"/>
              <w:bottom w:w="60" w:type="dxa"/>
              <w:right w:w="80" w:type="dxa"/>
            </w:tcMar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5"/>
              <w:jc w:val="center"/>
            </w:pPr>
            <w:r>
              <w:rPr>
                <w:sz w:val="48"/>
              </w:rPr>
              <w:t xml:space="preserve">Приказ Минпросвещения России от 15.11.2023 N 863</w:t>
              <w:br/>
              <w:t xml:space="preserve">(ред. от 27.03.2025)</w:t>
              <w:br/>
              <w:t xml:space="preserve">"Об утверждении федерального государственного образовательного стандарта среднего профессионального образования по профессии 15.01.05 Сварщик (ручной и частично механизированной сварки (наплавки)"</w:t>
              <w:br/>
              <w:t xml:space="preserve">(Зарегистрировано в Минюсте России 15.12.2023 N 76433)</w:t>
            </w:r>
          </w:p>
        </w:tc>
      </w:tr>
      <w:tr>
        <w:trPr>
          <w:trHeight w:val="3031" w:hRule="exact"/>
        </w:trPr>
        <w:tblPrEx>
          <w:tblBorders>
            <w:top w:val="nil"/>
            <w:left w:val="nil"/>
            <w:bottom w:val="nil"/>
            <w:right w:val="nil"/>
            <w:insideV w:val="nil"/>
            <w:insideH w:val="nil"/>
          </w:tblBorders>
        </w:tblPrEx>
        <w:tc>
          <w:tcPr>
            <w:tcW w:w="10716" w:type="dxa"/>
            <w:vAlign w:val="center"/>
            <w:tcMar>
              <w:top w:w="60" w:type="dxa"/>
              <w:left w:w="80" w:type="dxa"/>
              <w:bottom w:w="60" w:type="dxa"/>
              <w:right w:w="80" w:type="dxa"/>
            </w:tcMar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5"/>
              <w:jc w:val="center"/>
            </w:pPr>
            <w:r>
              <w:rPr>
                <w:sz w:val="28"/>
              </w:rPr>
              <w:t xml:space="preserve">Документ предоставлен </w:t>
            </w:r>
            <w:hyperlink w:history="0" r:id="rId3" w:tooltip="Ссылка на КонсультантПлюс">
              <w:r>
                <w:rPr>
                  <w:sz w:val="28"/>
                  <w:color w:val="0000ff"/>
                  <w:b w:val="on"/>
                </w:rPr>
                <w:t xml:space="preserve">КонсультантПлюс</w:t>
                <w:br/>
                <w:br/>
              </w:r>
            </w:hyperlink>
            <w:hyperlink w:history="0" r:id="rId4" w:tooltip="Ссылка на КонсультантПлюс">
              <w:r>
                <w:rPr>
                  <w:sz w:val="28"/>
                  <w:color w:val="0000ff"/>
                  <w:b w:val="on"/>
                </w:rPr>
                <w:t xml:space="preserve">www.consultant.ru</w:t>
              </w:r>
            </w:hyperlink>
            <w:r>
              <w:rPr>
                <w:sz w:val="28"/>
              </w:rPr>
              <w:br/>
              <w:br/>
              <w:t xml:space="preserve">Дата сохранения: 24.06.2025</w:t>
            </w:r>
            <w:r>
              <w:rPr>
                <w:sz w:val="28"/>
              </w:rPr>
              <w:br/>
              <w:t xml:space="preserve"> </w:t>
            </w:r>
          </w:p>
        </w:tc>
      </w:tr>
    </w:tbl>
    <w:p>
      <w:pPr>
        <w:sectPr>
          <w:pgSz w:w="11906" w:h="16838"/>
          <w:pgMar w:top="841" w:right="595" w:bottom="841" w:left="595" w:header="0" w:footer="0" w:gutter="0"/>
          <w:titlePg/>
        </w:sectPr>
      </w:pPr>
    </w:p>
    <w:p>
      <w:pPr>
        <w:pStyle w:val="0"/>
        <w:outlineLvl w:val="0"/>
        <w:jc w:val="both"/>
      </w:pPr>
      <w:r>
        <w:rPr>
          <w:sz w:val="20"/>
        </w:rPr>
      </w:r>
    </w:p>
    <w:p>
      <w:pPr>
        <w:pStyle w:val="0"/>
        <w:outlineLvl w:val="0"/>
      </w:pPr>
      <w:r>
        <w:rPr>
          <w:sz w:val="20"/>
        </w:rPr>
        <w:t xml:space="preserve">Зарегистрировано в Минюсте России 15 декабря 2023 г. N 76433</w:t>
      </w:r>
    </w:p>
    <w:p>
      <w:pPr>
        <w:pStyle w:val="0"/>
        <w:jc w:val="both"/>
        <w:pBdr>
          <w:bottom w:val="single" w:sz="6" w:space="0" w:color="auto"/>
        </w:pBdr>
        <w:spacing w:before="100" w:after="100"/>
        <w:rPr>
          <w:sz w:val="2"/>
          <w:szCs w:val="2"/>
        </w:rPr>
      </w:pPr>
    </w:p>
    <w:p>
      <w:pPr>
        <w:pStyle w:val="0"/>
      </w:pPr>
      <w:r>
        <w:rPr>
          <w:sz w:val="20"/>
        </w:rPr>
      </w:r>
    </w:p>
    <w:p>
      <w:pPr>
        <w:pStyle w:val="2"/>
        <w:jc w:val="center"/>
      </w:pPr>
      <w:r>
        <w:rPr>
          <w:sz w:val="20"/>
        </w:rPr>
        <w:t xml:space="preserve">МИНИСТЕРСТВО ПРОСВЕЩЕНИЯ РОССИЙСКОЙ ФЕДЕРАЦИИ</w:t>
      </w:r>
    </w:p>
    <w:p>
      <w:pPr>
        <w:pStyle w:val="2"/>
        <w:jc w:val="center"/>
      </w:pPr>
      <w:r>
        <w:rPr>
          <w:sz w:val="20"/>
        </w:rPr>
      </w:r>
    </w:p>
    <w:p>
      <w:pPr>
        <w:pStyle w:val="2"/>
        <w:jc w:val="center"/>
      </w:pPr>
      <w:r>
        <w:rPr>
          <w:sz w:val="20"/>
        </w:rPr>
        <w:t xml:space="preserve">ПРИКАЗ</w:t>
      </w:r>
    </w:p>
    <w:p>
      <w:pPr>
        <w:pStyle w:val="2"/>
        <w:jc w:val="center"/>
      </w:pPr>
      <w:r>
        <w:rPr>
          <w:sz w:val="20"/>
        </w:rPr>
        <w:t xml:space="preserve">от 15 ноября 2023 г. N 863</w:t>
      </w:r>
    </w:p>
    <w:p>
      <w:pPr>
        <w:pStyle w:val="2"/>
        <w:jc w:val="center"/>
      </w:pPr>
      <w:r>
        <w:rPr>
          <w:sz w:val="20"/>
        </w:rPr>
      </w:r>
    </w:p>
    <w:p>
      <w:pPr>
        <w:pStyle w:val="2"/>
        <w:jc w:val="center"/>
      </w:pPr>
      <w:r>
        <w:rPr>
          <w:sz w:val="20"/>
        </w:rPr>
        <w:t xml:space="preserve">ОБ УТВЕРЖДЕНИИ</w:t>
      </w:r>
    </w:p>
    <w:p>
      <w:pPr>
        <w:pStyle w:val="2"/>
        <w:jc w:val="center"/>
      </w:pPr>
      <w:r>
        <w:rPr>
          <w:sz w:val="20"/>
        </w:rPr>
        <w:t xml:space="preserve">ФЕДЕРАЛЬНОГО ГОСУДАРСТВЕННОГО ОБРАЗОВАТЕЛЬНОГО СТАНДАРТА</w:t>
      </w:r>
    </w:p>
    <w:p>
      <w:pPr>
        <w:pStyle w:val="2"/>
        <w:jc w:val="center"/>
      </w:pPr>
      <w:r>
        <w:rPr>
          <w:sz w:val="20"/>
        </w:rPr>
        <w:t xml:space="preserve">СРЕДНЕГО ПРОФЕССИОНАЛЬНОГО ОБРАЗОВАНИЯ ПО ПРОФЕССИИ 15.01.05</w:t>
      </w:r>
    </w:p>
    <w:p>
      <w:pPr>
        <w:pStyle w:val="2"/>
        <w:jc w:val="center"/>
      </w:pPr>
      <w:r>
        <w:rPr>
          <w:sz w:val="20"/>
        </w:rPr>
        <w:t xml:space="preserve">СВАРЩИК (РУЧНОЙ И ЧАСТИЧНО МЕХАНИЗИРОВАННОЙ</w:t>
      </w:r>
    </w:p>
    <w:p>
      <w:pPr>
        <w:pStyle w:val="2"/>
        <w:jc w:val="center"/>
      </w:pPr>
      <w:r>
        <w:rPr>
          <w:sz w:val="20"/>
        </w:rPr>
        <w:t xml:space="preserve">СВАРКИ (НАПЛАВКИ)</w:t>
      </w:r>
    </w:p>
    <w:p>
      <w:pPr>
        <w:spacing w:before="0"/>
        <w:spacing w:after="1"/>
      </w:pPr>
    </w:p>
    <w:tbl>
      <w:tblPr>
        <w:tblInd w:w="0" w:type="dxa"/>
        <w:tblW w:w="5000" w:type="pct"/>
        <w:tblBorders>
          <w:top w:val="nil"/>
          <w:left w:val="nil"/>
          <w:bottom w:val="nil"/>
          <w:right w:val="nil"/>
          <w:insideV w:val="nil"/>
          <w:insideH w:val="nil"/>
        </w:tblBorders>
      </w:tblPr>
      <w:tblGrid>
        <w:gridCol w:w="60"/>
        <w:gridCol w:w="113"/>
        <w:gridCol w:w="9921"/>
        <w:gridCol w:w="113"/>
      </w:tblGrid>
      <w:tr>
        <w:tc>
          <w:tcPr>
            <w:tcW w:w="60" w:type="dxa"/>
            <w:tcMar>
              <w:top w:w="0" w:type="dxa"/>
              <w:left w:w="0" w:type="dxa"/>
              <w:bottom w:w="0" w:type="dxa"/>
              <w:right w:w="0" w:type="dxa"/>
            </w:tcMar>
            <w:shd w:val="clear" w:fill="ced3f1"/>
            <w:tcBorders>
              <w:top w:val="nil"/>
              <w:left w:val="nil"/>
              <w:bottom w:val="nil"/>
              <w:right w:val="nil"/>
            </w:tcBorders>
          </w:tcPr>
          <w:p/>
        </w:tc>
        <w:tc>
          <w:tcPr>
            <w:tcW w:w="113" w:type="dxa"/>
            <w:tcMar>
              <w:top w:w="0" w:type="dxa"/>
              <w:left w:w="0" w:type="dxa"/>
              <w:bottom w:w="0" w:type="dxa"/>
              <w:right w:w="0" w:type="dxa"/>
            </w:tcMar>
            <w:shd w:val="clear" w:fill="f4f3f8"/>
            <w:tcBorders>
              <w:top w:val="nil"/>
              <w:left w:val="nil"/>
              <w:bottom w:val="nil"/>
              <w:right w:val="nil"/>
            </w:tcBorders>
          </w:tcPr>
          <w:p/>
        </w:tc>
        <w:tc>
          <w:tcPr>
            <w:tcW w:w="0" w:type="auto"/>
            <w:tcMar>
              <w:top w:w="113" w:type="dxa"/>
              <w:left w:w="0" w:type="dxa"/>
              <w:bottom w:w="113" w:type="dxa"/>
              <w:right w:w="0" w:type="dxa"/>
            </w:tcMar>
            <w:shd w:val="clear" w:fill="f4f3f8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0"/>
              <w:jc w:val="center"/>
            </w:pPr>
            <w:r>
              <w:rPr>
                <w:sz w:val="20"/>
                <w:color w:val="392c69"/>
              </w:rPr>
              <w:t xml:space="preserve">Список изменяющих документов</w:t>
            </w:r>
          </w:p>
          <w:p>
            <w:pPr>
              <w:pStyle w:val="0"/>
              <w:jc w:val="center"/>
            </w:pPr>
            <w:r>
              <w:rPr>
                <w:sz w:val="20"/>
                <w:color w:val="392c69"/>
              </w:rPr>
              <w:t xml:space="preserve">(в ред. </w:t>
            </w:r>
            <w:hyperlink w:history="0" r:id="rId7" w:tooltip="Приказ Минпросвещения России от 27.03.2025 N 239 &quot;О внесении изменений в федеральные государственные образовательные стандарты среднего профессионального образования&quot; (Зарегистрировано в Минюсте России 28.04.2025 N 81996) {КонсультантПлюс}">
              <w:r>
                <w:rPr>
                  <w:sz w:val="20"/>
                  <w:color w:val="0000ff"/>
                </w:rPr>
                <w:t xml:space="preserve">Приказа</w:t>
              </w:r>
            </w:hyperlink>
            <w:r>
              <w:rPr>
                <w:sz w:val="20"/>
                <w:color w:val="392c69"/>
              </w:rPr>
              <w:t xml:space="preserve"> Минпросвещения России от 27.03.2025 N 239)</w:t>
            </w:r>
          </w:p>
        </w:tc>
        <w:tc>
          <w:tcPr>
            <w:tcW w:w="113" w:type="dxa"/>
            <w:tcMar>
              <w:top w:w="0" w:type="dxa"/>
              <w:left w:w="0" w:type="dxa"/>
              <w:bottom w:w="0" w:type="dxa"/>
              <w:right w:w="0" w:type="dxa"/>
            </w:tcMar>
            <w:shd w:val="clear" w:fill="f4f3f8"/>
            <w:tcBorders>
              <w:top w:val="nil"/>
              <w:left w:val="nil"/>
              <w:bottom w:val="nil"/>
              <w:right w:val="nil"/>
            </w:tcBorders>
          </w:tcPr>
          <w:p/>
        </w:tc>
      </w:tr>
    </w:tbl>
    <w:p>
      <w:pPr>
        <w:pStyle w:val="0"/>
        <w:jc w:val="both"/>
      </w:pPr>
      <w:r>
        <w:rPr>
          <w:sz w:val="20"/>
        </w:rPr>
      </w:r>
    </w:p>
    <w:p>
      <w:pPr>
        <w:pStyle w:val="0"/>
        <w:ind w:firstLine="540"/>
        <w:jc w:val="both"/>
      </w:pPr>
      <w:r>
        <w:rPr>
          <w:sz w:val="20"/>
        </w:rPr>
        <w:t xml:space="preserve">В соответствии с </w:t>
      </w:r>
      <w:hyperlink w:history="0" r:id="rId8" w:tooltip="Постановление Правительства РФ от 28.07.2018 N 884 (ред. от 21.02.2025) &quot;Об утверждении Положения о Министерстве просвещения Российской Федерации и признании утратившими силу некоторых актов Правительства Российской Федерации&quot; {КонсультантПлюс}">
        <w:r>
          <w:rPr>
            <w:sz w:val="20"/>
            <w:color w:val="0000ff"/>
          </w:rPr>
          <w:t xml:space="preserve">подпунктом 4.2.30 пункта 4</w:t>
        </w:r>
      </w:hyperlink>
      <w:r>
        <w:rPr>
          <w:sz w:val="20"/>
        </w:rPr>
        <w:t xml:space="preserve"> Положения о Министерстве просвещения Российской Федерации, утвержденного постановлением Правительства Российской Федерации от 28 июля 2018 г. N 884, и </w:t>
      </w:r>
      <w:hyperlink w:history="0" r:id="rId9" w:tooltip="Постановление Правительства РФ от 12.04.2019 N 434 (ред. от 20.07.2024) &quot;Об утверждении Правил разработки, утверждения федеральных государственных образовательных стандартов и внесения в них изменений и признании утратившими силу некоторых актов Правительства Российской Федерации&quot; {КонсультантПлюс}">
        <w:r>
          <w:rPr>
            <w:sz w:val="20"/>
            <w:color w:val="0000ff"/>
          </w:rPr>
          <w:t xml:space="preserve">пунктом 27</w:t>
        </w:r>
      </w:hyperlink>
      <w:r>
        <w:rPr>
          <w:sz w:val="20"/>
        </w:rPr>
        <w:t xml:space="preserve"> Правил разработки, утверждения федеральных государственных образовательных стандартов и внесения в них изменений, утвержденных постановлением Правительства Российской Федерации от 12 апреля 2019 г. N 434, приказываю: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1. Утвердить прилагаемый федеральный государственный образовательный </w:t>
      </w:r>
      <w:hyperlink w:history="0" w:anchor="P35" w:tooltip="ФЕДЕРАЛЬНЫЙ ГОСУДАРСТВЕННЫЙ ОБРАЗОВАТЕЛЬНЫЙ СТАНДАРТ">
        <w:r>
          <w:rPr>
            <w:sz w:val="20"/>
            <w:color w:val="0000ff"/>
          </w:rPr>
          <w:t xml:space="preserve">стандарт</w:t>
        </w:r>
      </w:hyperlink>
      <w:r>
        <w:rPr>
          <w:sz w:val="20"/>
        </w:rPr>
        <w:t xml:space="preserve"> среднего профессионального образования по профессии </w:t>
      </w:r>
      <w:hyperlink w:history="0" r:id="rId10" w:tooltip="Приказ Минпросвещения России от 17.05.2022 N 336 (ред. от 25.03.2025) &quot;Об утверждении перечней профессий и специальностей среднего профессионального образования и установлении соответствия отдельных профессий и специальностей среднего профессионального образования, указанных в этих перечнях, профессиям и специальностям среднего профессионального образования, перечни которых утверждены приказом Министерства образования и науки Российской Федерации от 29 октября 2013 г. N 1199 &quot;Об утверждении перечней професс {КонсультантПлюс}">
        <w:r>
          <w:rPr>
            <w:sz w:val="20"/>
            <w:color w:val="0000ff"/>
          </w:rPr>
          <w:t xml:space="preserve">15.01.05</w:t>
        </w:r>
      </w:hyperlink>
      <w:r>
        <w:rPr>
          <w:sz w:val="20"/>
        </w:rPr>
        <w:t xml:space="preserve"> Сварщик (ручной и частично механизированной сварки (наплавки) (далее - стандарт).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2. Установить, что: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образовательная организация вправе осуществлять в соответствии со </w:t>
      </w:r>
      <w:hyperlink w:history="0" w:anchor="P35" w:tooltip="ФЕДЕРАЛЬНЫЙ ГОСУДАРСТВЕННЫЙ ОБРАЗОВАТЕЛЬНЫЙ СТАНДАРТ">
        <w:r>
          <w:rPr>
            <w:sz w:val="20"/>
            <w:color w:val="0000ff"/>
          </w:rPr>
          <w:t xml:space="preserve">стандартом</w:t>
        </w:r>
      </w:hyperlink>
      <w:r>
        <w:rPr>
          <w:sz w:val="20"/>
        </w:rPr>
        <w:t xml:space="preserve"> обучение лиц, зачисленных до вступления в силу настоящего приказа, с их согласия;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прием на обучение в соответствии с федеральным государственным образовательным </w:t>
      </w:r>
      <w:hyperlink w:history="0" r:id="rId11" w:tooltip="Приказ Минобрнауки России от 29.01.2016 N 50 (ред. от 01.09.2022) &quot;Об утверждении федерального государственного образовательного стандарта среднего профессионального образования по профессии 15.01.05 Сварщик (ручной и частично механизированной сварки (наплавки)&quot; (Зарегистрировано в Минюсте России 24.02.2016 N 41197) {КонсультантПлюс}">
        <w:r>
          <w:rPr>
            <w:sz w:val="20"/>
            <w:color w:val="0000ff"/>
          </w:rPr>
          <w:t xml:space="preserve">стандартом</w:t>
        </w:r>
      </w:hyperlink>
      <w:r>
        <w:rPr>
          <w:sz w:val="20"/>
        </w:rPr>
        <w:t xml:space="preserve"> среднего профессионального образования по профессии </w:t>
      </w:r>
      <w:hyperlink w:history="0" r:id="rId12" w:tooltip="Приказ Минпросвещения России от 17.05.2022 N 336 (ред. от 25.03.2025) &quot;Об утверждении перечней профессий и специальностей среднего профессионального образования и установлении соответствия отдельных профессий и специальностей среднего профессионального образования, указанных в этих перечнях, профессиям и специальностям среднего профессионального образования, перечни которых утверждены приказом Министерства образования и науки Российской Федерации от 29 октября 2013 г. N 1199 &quot;Об утверждении перечней професс {КонсультантПлюс}">
        <w:r>
          <w:rPr>
            <w:sz w:val="20"/>
            <w:color w:val="0000ff"/>
          </w:rPr>
          <w:t xml:space="preserve">15.01.05</w:t>
        </w:r>
      </w:hyperlink>
      <w:r>
        <w:rPr>
          <w:sz w:val="20"/>
        </w:rPr>
        <w:t xml:space="preserve"> Сварщик (ручной и частично механизированной сварки (наплавки), утвержденным приказом Министерства образования и науки Российской Федерации от 29 января 2016 г. N 50 (зарегистрирован Министерством юстиции Российской Федерации 24 февраля 2016 г., регистрационный N 41197), с изменениями, внесенными приказом Министерства образования и науки Российской Федерации от 14 сентября 2016 г. N 1193 (зарегистрирован Министерством юстиции Российской Федерации 5 октября 2016 г., регистрационный N 43932) и приказами Министерства просвещения Российской Федерации от 17 декабря 2020 г. N 747 (зарегистрирован Министерством юстиции Российской Федерации 22 января 2021 г., регистрационный N 62178) и от 1 сентября 2022 г. N 796 (зарегистрирован Министерством юстиции Российской Федерации 11 октября 2022 г., регистрационный N 70461), прекращается с 31 декабря 2023 года.</w:t>
      </w:r>
    </w:p>
    <w:p>
      <w:pPr>
        <w:pStyle w:val="0"/>
        <w:jc w:val="both"/>
      </w:pPr>
      <w:r>
        <w:rPr>
          <w:sz w:val="20"/>
        </w:rPr>
      </w:r>
    </w:p>
    <w:p>
      <w:pPr>
        <w:pStyle w:val="0"/>
        <w:jc w:val="right"/>
      </w:pPr>
      <w:r>
        <w:rPr>
          <w:sz w:val="20"/>
        </w:rPr>
        <w:t xml:space="preserve">Министр</w:t>
      </w:r>
    </w:p>
    <w:p>
      <w:pPr>
        <w:pStyle w:val="0"/>
        <w:jc w:val="right"/>
      </w:pPr>
      <w:r>
        <w:rPr>
          <w:sz w:val="20"/>
        </w:rPr>
        <w:t xml:space="preserve">С.С.КРАВЦОВ</w:t>
      </w:r>
    </w:p>
    <w:p>
      <w:pPr>
        <w:pStyle w:val="0"/>
        <w:jc w:val="both"/>
      </w:pPr>
      <w:r>
        <w:rPr>
          <w:sz w:val="20"/>
        </w:rPr>
      </w:r>
    </w:p>
    <w:p>
      <w:pPr>
        <w:pStyle w:val="0"/>
        <w:jc w:val="both"/>
      </w:pPr>
      <w:r>
        <w:rPr>
          <w:sz w:val="20"/>
        </w:rPr>
      </w:r>
    </w:p>
    <w:p>
      <w:pPr>
        <w:pStyle w:val="0"/>
        <w:jc w:val="both"/>
      </w:pPr>
      <w:r>
        <w:rPr>
          <w:sz w:val="20"/>
        </w:rPr>
      </w:r>
    </w:p>
    <w:p>
      <w:pPr>
        <w:pStyle w:val="0"/>
        <w:jc w:val="both"/>
      </w:pPr>
      <w:r>
        <w:rPr>
          <w:sz w:val="20"/>
        </w:rPr>
      </w:r>
    </w:p>
    <w:p>
      <w:pPr>
        <w:pStyle w:val="0"/>
        <w:jc w:val="both"/>
      </w:pPr>
      <w:r>
        <w:rPr>
          <w:sz w:val="20"/>
        </w:rPr>
      </w:r>
    </w:p>
    <w:p>
      <w:pPr>
        <w:pStyle w:val="0"/>
        <w:outlineLvl w:val="0"/>
        <w:jc w:val="right"/>
      </w:pPr>
      <w:r>
        <w:rPr>
          <w:sz w:val="20"/>
        </w:rPr>
        <w:t xml:space="preserve">Утвержден</w:t>
      </w:r>
    </w:p>
    <w:p>
      <w:pPr>
        <w:pStyle w:val="0"/>
        <w:jc w:val="right"/>
      </w:pPr>
      <w:r>
        <w:rPr>
          <w:sz w:val="20"/>
        </w:rPr>
        <w:t xml:space="preserve">приказом Министерства просвещения</w:t>
      </w:r>
    </w:p>
    <w:p>
      <w:pPr>
        <w:pStyle w:val="0"/>
        <w:jc w:val="right"/>
      </w:pPr>
      <w:r>
        <w:rPr>
          <w:sz w:val="20"/>
        </w:rPr>
        <w:t xml:space="preserve">Российской Федерации</w:t>
      </w:r>
    </w:p>
    <w:p>
      <w:pPr>
        <w:pStyle w:val="0"/>
        <w:jc w:val="right"/>
      </w:pPr>
      <w:r>
        <w:rPr>
          <w:sz w:val="20"/>
        </w:rPr>
        <w:t xml:space="preserve">от 15 ноября 2023 г. N 863</w:t>
      </w:r>
    </w:p>
    <w:p>
      <w:pPr>
        <w:pStyle w:val="0"/>
        <w:jc w:val="both"/>
      </w:pPr>
      <w:r>
        <w:rPr>
          <w:sz w:val="20"/>
        </w:rPr>
      </w:r>
    </w:p>
    <w:bookmarkStart w:id="35" w:name="P35"/>
    <w:bookmarkEnd w:id="35"/>
    <w:p>
      <w:pPr>
        <w:pStyle w:val="2"/>
        <w:jc w:val="center"/>
      </w:pPr>
      <w:r>
        <w:rPr>
          <w:sz w:val="20"/>
        </w:rPr>
        <w:t xml:space="preserve">ФЕДЕРАЛЬНЫЙ ГОСУДАРСТВЕННЫЙ ОБРАЗОВАТЕЛЬНЫЙ СТАНДАРТ</w:t>
      </w:r>
    </w:p>
    <w:p>
      <w:pPr>
        <w:pStyle w:val="2"/>
        <w:jc w:val="center"/>
      </w:pPr>
      <w:r>
        <w:rPr>
          <w:sz w:val="20"/>
        </w:rPr>
        <w:t xml:space="preserve">СРЕДНЕГО ПРОФЕССИОНАЛЬНОГО ОБРАЗОВАНИЯ ПО ПРОФЕССИИ 15.01.05</w:t>
      </w:r>
    </w:p>
    <w:p>
      <w:pPr>
        <w:pStyle w:val="2"/>
        <w:jc w:val="center"/>
      </w:pPr>
      <w:r>
        <w:rPr>
          <w:sz w:val="20"/>
        </w:rPr>
        <w:t xml:space="preserve">СВАРЩИК (РУЧНОЙ И ЧАСТИЧНО МЕХАНИЗИРОВАННОЙ</w:t>
      </w:r>
    </w:p>
    <w:p>
      <w:pPr>
        <w:pStyle w:val="2"/>
        <w:jc w:val="center"/>
      </w:pPr>
      <w:r>
        <w:rPr>
          <w:sz w:val="20"/>
        </w:rPr>
        <w:t xml:space="preserve">СВАРКИ (НАПЛАВКИ)</w:t>
      </w:r>
    </w:p>
    <w:p>
      <w:pPr>
        <w:spacing w:before="0"/>
        <w:spacing w:after="1"/>
      </w:pPr>
    </w:p>
    <w:tbl>
      <w:tblPr>
        <w:tblInd w:w="0" w:type="dxa"/>
        <w:tblW w:w="5000" w:type="pct"/>
        <w:tblBorders>
          <w:top w:val="nil"/>
          <w:left w:val="nil"/>
          <w:bottom w:val="nil"/>
          <w:right w:val="nil"/>
          <w:insideV w:val="nil"/>
          <w:insideH w:val="nil"/>
        </w:tblBorders>
      </w:tblPr>
      <w:tblGrid>
        <w:gridCol w:w="60"/>
        <w:gridCol w:w="113"/>
        <w:gridCol w:w="9921"/>
        <w:gridCol w:w="113"/>
      </w:tblGrid>
      <w:tr>
        <w:tc>
          <w:tcPr>
            <w:tcW w:w="60" w:type="dxa"/>
            <w:tcMar>
              <w:top w:w="0" w:type="dxa"/>
              <w:left w:w="0" w:type="dxa"/>
              <w:bottom w:w="0" w:type="dxa"/>
              <w:right w:w="0" w:type="dxa"/>
            </w:tcMar>
            <w:shd w:val="clear" w:fill="ced3f1"/>
            <w:tcBorders>
              <w:top w:val="nil"/>
              <w:left w:val="nil"/>
              <w:bottom w:val="nil"/>
              <w:right w:val="nil"/>
            </w:tcBorders>
          </w:tcPr>
          <w:p/>
        </w:tc>
        <w:tc>
          <w:tcPr>
            <w:tcW w:w="113" w:type="dxa"/>
            <w:tcMar>
              <w:top w:w="0" w:type="dxa"/>
              <w:left w:w="0" w:type="dxa"/>
              <w:bottom w:w="0" w:type="dxa"/>
              <w:right w:w="0" w:type="dxa"/>
            </w:tcMar>
            <w:shd w:val="clear" w:fill="f4f3f8"/>
            <w:tcBorders>
              <w:top w:val="nil"/>
              <w:left w:val="nil"/>
              <w:bottom w:val="nil"/>
              <w:right w:val="nil"/>
            </w:tcBorders>
          </w:tcPr>
          <w:p/>
        </w:tc>
        <w:tc>
          <w:tcPr>
            <w:tcW w:w="0" w:type="auto"/>
            <w:tcMar>
              <w:top w:w="113" w:type="dxa"/>
              <w:left w:w="0" w:type="dxa"/>
              <w:bottom w:w="113" w:type="dxa"/>
              <w:right w:w="0" w:type="dxa"/>
            </w:tcMar>
            <w:shd w:val="clear" w:fill="f4f3f8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0"/>
              <w:jc w:val="center"/>
            </w:pPr>
            <w:r>
              <w:rPr>
                <w:sz w:val="20"/>
                <w:color w:val="392c69"/>
              </w:rPr>
              <w:t xml:space="preserve">Список изменяющих документов</w:t>
            </w:r>
          </w:p>
          <w:p>
            <w:pPr>
              <w:pStyle w:val="0"/>
              <w:jc w:val="center"/>
            </w:pPr>
            <w:r>
              <w:rPr>
                <w:sz w:val="20"/>
                <w:color w:val="392c69"/>
              </w:rPr>
              <w:t xml:space="preserve">(в ред. </w:t>
            </w:r>
            <w:hyperlink w:history="0" r:id="rId13" w:tooltip="Приказ Минпросвещения России от 27.03.2025 N 239 &quot;О внесении изменений в федеральные государственные образовательные стандарты среднего профессионального образования&quot; (Зарегистрировано в Минюсте России 28.04.2025 N 81996) {КонсультантПлюс}">
              <w:r>
                <w:rPr>
                  <w:sz w:val="20"/>
                  <w:color w:val="0000ff"/>
                </w:rPr>
                <w:t xml:space="preserve">Приказа</w:t>
              </w:r>
            </w:hyperlink>
            <w:r>
              <w:rPr>
                <w:sz w:val="20"/>
                <w:color w:val="392c69"/>
              </w:rPr>
              <w:t xml:space="preserve"> Минпросвещения России от 27.03.2025 N 239)</w:t>
            </w:r>
          </w:p>
        </w:tc>
        <w:tc>
          <w:tcPr>
            <w:tcW w:w="113" w:type="dxa"/>
            <w:tcMar>
              <w:top w:w="0" w:type="dxa"/>
              <w:left w:w="0" w:type="dxa"/>
              <w:bottom w:w="0" w:type="dxa"/>
              <w:right w:w="0" w:type="dxa"/>
            </w:tcMar>
            <w:shd w:val="clear" w:fill="f4f3f8"/>
            <w:tcBorders>
              <w:top w:val="nil"/>
              <w:left w:val="nil"/>
              <w:bottom w:val="nil"/>
              <w:right w:val="nil"/>
            </w:tcBorders>
          </w:tcPr>
          <w:p/>
        </w:tc>
      </w:tr>
    </w:tbl>
    <w:p>
      <w:pPr>
        <w:pStyle w:val="0"/>
        <w:jc w:val="both"/>
      </w:pPr>
      <w:r>
        <w:rPr>
          <w:sz w:val="20"/>
        </w:rPr>
      </w:r>
    </w:p>
    <w:p>
      <w:pPr>
        <w:pStyle w:val="2"/>
        <w:outlineLvl w:val="1"/>
        <w:jc w:val="center"/>
      </w:pPr>
      <w:r>
        <w:rPr>
          <w:sz w:val="20"/>
        </w:rPr>
        <w:t xml:space="preserve">I. ОБЩИЕ ПОЛОЖЕНИЯ</w:t>
      </w:r>
    </w:p>
    <w:p>
      <w:pPr>
        <w:pStyle w:val="0"/>
        <w:jc w:val="both"/>
      </w:pPr>
      <w:r>
        <w:rPr>
          <w:sz w:val="20"/>
        </w:rPr>
      </w:r>
    </w:p>
    <w:bookmarkStart w:id="44" w:name="P44"/>
    <w:bookmarkEnd w:id="44"/>
    <w:p>
      <w:pPr>
        <w:pStyle w:val="0"/>
        <w:ind w:firstLine="540"/>
        <w:jc w:val="both"/>
      </w:pPr>
      <w:r>
        <w:rPr>
          <w:sz w:val="20"/>
        </w:rPr>
        <w:t xml:space="preserve">1.1. Настоящий федеральный государственный образовательный стандарт среднего профессионального образования представляет собой совокупность обязательных требований при реализации образовательных программ среднего профессионального образования - программ подготовки квалифицированных рабочих, служащих по профессии </w:t>
      </w:r>
      <w:hyperlink w:history="0" r:id="rId14" w:tooltip="Приказ Минпросвещения России от 17.05.2022 N 336 (ред. от 25.03.2025) &quot;Об утверждении перечней профессий и специальностей среднего профессионального образования и установлении соответствия отдельных профессий и специальностей среднего профессионального образования, указанных в этих перечнях, профессиям и специальностям среднего профессионального образования, перечни которых утверждены приказом Министерства образования и науки Российской Федерации от 29 октября 2013 г. N 1199 &quot;Об утверждении перечней професс {КонсультантПлюс}">
        <w:r>
          <w:rPr>
            <w:sz w:val="20"/>
            <w:color w:val="0000ff"/>
          </w:rPr>
          <w:t xml:space="preserve">15.01.05</w:t>
        </w:r>
      </w:hyperlink>
      <w:r>
        <w:rPr>
          <w:sz w:val="20"/>
        </w:rPr>
        <w:t xml:space="preserve"> Сварщик (ручной и частично механизированной сварки (наплавки) (далее соответственно - ФГОС СПО, образовательная программа, профессия) в соответствии с квалификацией квалифицированного рабочего, служащего "сварщик" &lt;1&gt;.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--------------------------------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&lt;1&gt; </w:t>
      </w:r>
      <w:hyperlink w:history="0" r:id="rId15" w:tooltip="Приказ Минпросвещения России от 17.05.2022 N 336 (ред. от 25.03.2025) &quot;Об утверждении перечней профессий и специальностей среднего профессионального образования и установлении соответствия отдельных профессий и специальностей среднего профессионального образования, указанных в этих перечнях, профессиям и специальностям среднего профессионального образования, перечни которых утверждены приказом Министерства образования и науки Российской Федерации от 29 октября 2013 г. N 1199 &quot;Об утверждении перечней професс {КонсультантПлюс}">
        <w:r>
          <w:rPr>
            <w:sz w:val="20"/>
            <w:color w:val="0000ff"/>
          </w:rPr>
          <w:t xml:space="preserve">Перечень</w:t>
        </w:r>
      </w:hyperlink>
      <w:r>
        <w:rPr>
          <w:sz w:val="20"/>
        </w:rPr>
        <w:t xml:space="preserve"> профессий среднего профессионального образования, утвержденный приказом Министерства просвещения Российской Федерации от 17 мая 2022 г. N 336 (зарегистрирован Министерством юстиции Российской Федерации 17 июня 2022 г., регистрационный N 68887), с изменениями, внесенными приказами Министерства просвещения Российской Федерации от 12 мая 2023 г. N 359 (зарегистрирован Министерством юстиции Российской Федерации 9 июня 2023 г., регистрационный N 73797) и от 25 сентября 2023 г. N 717 (зарегистрирован Министерством юстиции Российской Федерации 26 октября 2023 г., регистрационный N 75754).</w:t>
      </w:r>
    </w:p>
    <w:p>
      <w:pPr>
        <w:pStyle w:val="0"/>
        <w:jc w:val="both"/>
      </w:pPr>
      <w:r>
        <w:rPr>
          <w:sz w:val="20"/>
        </w:rPr>
      </w:r>
    </w:p>
    <w:p>
      <w:pPr>
        <w:pStyle w:val="0"/>
        <w:ind w:firstLine="540"/>
        <w:jc w:val="both"/>
      </w:pPr>
      <w:r>
        <w:rPr>
          <w:sz w:val="20"/>
        </w:rPr>
        <w:t xml:space="preserve">1.2. Получение образования по профессии допускается только в профессиональной образовательной организации или образовательной организации высшего образования (далее вместе - образовательная организация).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1.3. Образовательная программа, реализуемая на базе основного общего образования, разрабатывается образовательной организацией на основе требований федерального государственного образовательного </w:t>
      </w:r>
      <w:hyperlink w:history="0" r:id="rId16" w:tooltip="Приказ Минобрнауки России от 17.05.2012 N 413 (ред. от 27.12.2023) &quot;Об утверждении федерального государственного образовательного стандарта среднего общего образования&quot; (Зарегистрировано в Минюсте России 07.06.2012 N 24480) {КонсультантПлюс}">
        <w:r>
          <w:rPr>
            <w:sz w:val="20"/>
            <w:color w:val="0000ff"/>
          </w:rPr>
          <w:t xml:space="preserve">стандарта</w:t>
        </w:r>
      </w:hyperlink>
      <w:r>
        <w:rPr>
          <w:sz w:val="20"/>
        </w:rPr>
        <w:t xml:space="preserve"> среднего общего образования &lt;2&gt;, ФГОС СПО и положений федеральной основной общеобразовательной программы среднего общего образования с учетом получаемой профессии.</w:t>
      </w:r>
    </w:p>
    <w:p>
      <w:pPr>
        <w:pStyle w:val="0"/>
        <w:jc w:val="both"/>
      </w:pPr>
      <w:r>
        <w:rPr>
          <w:sz w:val="20"/>
        </w:rPr>
        <w:t xml:space="preserve">(в ред. </w:t>
      </w:r>
      <w:hyperlink w:history="0" r:id="rId17" w:tooltip="Приказ Минпросвещения России от 27.03.2025 N 239 &quot;О внесении изменений в федеральные государственные образовательные стандарты среднего профессионального образования&quot; (Зарегистрировано в Минюсте России 28.04.2025 N 81996) {КонсультантПлюс}">
        <w:r>
          <w:rPr>
            <w:sz w:val="20"/>
            <w:color w:val="0000ff"/>
          </w:rPr>
          <w:t xml:space="preserve">Приказа</w:t>
        </w:r>
      </w:hyperlink>
      <w:r>
        <w:rPr>
          <w:sz w:val="20"/>
        </w:rPr>
        <w:t xml:space="preserve"> Минпросвещения России от 27.03.2025 N 239)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--------------------------------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&lt;2&gt; Федеральный государственный образовательный </w:t>
      </w:r>
      <w:hyperlink w:history="0" r:id="rId18" w:tooltip="Приказ Минобрнауки России от 17.05.2012 N 413 (ред. от 27.12.2023) &quot;Об утверждении федерального государственного образовательного стандарта среднего общего образования&quot; (Зарегистрировано в Минюсте России 07.06.2012 N 24480) {КонсультантПлюс}">
        <w:r>
          <w:rPr>
            <w:sz w:val="20"/>
            <w:color w:val="0000ff"/>
          </w:rPr>
          <w:t xml:space="preserve">стандарт</w:t>
        </w:r>
      </w:hyperlink>
      <w:r>
        <w:rPr>
          <w:sz w:val="20"/>
        </w:rPr>
        <w:t xml:space="preserve"> среднего общего образования, утвержденный приказом Министерства образования и науки Российской Федерации от 17 мая 2012 г. N 413 (зарегистрирован Министерством юстиции Российской Федерации 7 июня 2012 г., регистрационный N 24480), с изменениями, внесенными приказами Министерства образования и науки Российской Федерации от 29 декабря 2014 г. N 1645 (зарегистрирован Министерством юстиции Российской Федерации 9 февраля 2015 г., регистрационный N 35953), от 31 декабря 2015 г. N 1578 (зарегистрирован Министерством юстиции Российской Федерации 9 февраля 2016 г., регистрационный N 41020), от 29 июня 2017 г. N 613 (зарегистрирован Министерством юстиции Российской Федерации 26 июля 2017 г., регистрационный N 47532), приказами Министерства просвещения Российской Федерации от 24 сентября 2020 г. N 519 (зарегистрирован Министерством юстиции Российской Федерации 23 декабря 2020 г., регистрационный N 61749), от 11 декабря 2020 г. N 712 (зарегистрирован Министерством юстиции Российской Федерации 25 декабря 2020 г., регистрационный N 61828) и от 12 августа 2022 г. N 732 (зарегистрирован Министерством юстиции Российской Федерации 12 сентября 2022 г., регистрационный N 70034).</w:t>
      </w:r>
    </w:p>
    <w:p>
      <w:pPr>
        <w:pStyle w:val="0"/>
        <w:jc w:val="both"/>
      </w:pPr>
      <w:r>
        <w:rPr>
          <w:sz w:val="20"/>
        </w:rPr>
      </w:r>
    </w:p>
    <w:p>
      <w:pPr>
        <w:pStyle w:val="0"/>
        <w:ind w:firstLine="540"/>
        <w:jc w:val="both"/>
      </w:pPr>
      <w:r>
        <w:rPr>
          <w:sz w:val="20"/>
        </w:rPr>
        <w:t xml:space="preserve">1.4. Обучение по образовательной программе в образовательной организации осуществляется в очной и очно-заочной формах обучения.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1.5. При реализации образовательной программы образовательная организация вправе применять электронное обучение и дистанционные образовательные технологии.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При обучении инвалидов и лиц с ограниченными возможностями здоровья электронное обучение и дистанционные образовательные технологии должны предусматривать возможность приема-передачи информации в доступных для них формах.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1.6. Реализация образовательной программы осуществляется образовательной организацией как самостоятельно, так и посредством сетевой формы.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Образовательная деятельность при освоении образовательной программы или отдельных ее компонентов организуется в форме практической подготовки.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1.7. Воспитание обучающихся при освоении ими образовательной программы осуществляется на основе включаемых в образовательную программу рабочей программы воспитания и календарного плана воспитательной работы, разрабатываемых и утверждаемых с учетом включенных в соответствующую примерную образовательную программу, включенную в реестр примерных образовательных программ (далее - ПОП), примерной рабочей программы воспитания и примерного календарного плана воспитательной работы. &lt;3&gt;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--------------------------------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&lt;3&gt; </w:t>
      </w:r>
      <w:hyperlink w:history="0" r:id="rId19" w:tooltip="Федеральный закон от 29.12.2012 N 273-ФЗ (ред. от 23.05.2025) &quot;Об образовании в Российской Федерации&quot; {КонсультантПлюс}">
        <w:r>
          <w:rPr>
            <w:sz w:val="20"/>
            <w:color w:val="0000ff"/>
          </w:rPr>
          <w:t xml:space="preserve">Часть 2 статьи 12.1</w:t>
        </w:r>
      </w:hyperlink>
      <w:r>
        <w:rPr>
          <w:sz w:val="20"/>
        </w:rPr>
        <w:t xml:space="preserve"> Федерального закона от 29 декабря 2012 г. N 273-ФЗ "Об образовании в Российской Федерации".</w:t>
      </w:r>
    </w:p>
    <w:p>
      <w:pPr>
        <w:pStyle w:val="0"/>
        <w:jc w:val="both"/>
      </w:pPr>
      <w:r>
        <w:rPr>
          <w:sz w:val="20"/>
        </w:rPr>
      </w:r>
    </w:p>
    <w:p>
      <w:pPr>
        <w:pStyle w:val="0"/>
        <w:ind w:firstLine="540"/>
        <w:jc w:val="both"/>
      </w:pPr>
      <w:r>
        <w:rPr>
          <w:sz w:val="20"/>
        </w:rPr>
        <w:t xml:space="preserve">1.8. Образовательная программа реализуется на государственном языке Российской Федерации, если иное не определено локальным нормативным актом образовательной организации &lt;4&gt;.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--------------------------------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&lt;4&gt; </w:t>
      </w:r>
      <w:hyperlink w:history="0" r:id="rId20" w:tooltip="Федеральный закон от 29.12.2012 N 273-ФЗ (ред. от 23.05.2025) &quot;Об образовании в Российской Федерации&quot; {КонсультантПлюс}">
        <w:r>
          <w:rPr>
            <w:sz w:val="20"/>
            <w:color w:val="0000ff"/>
          </w:rPr>
          <w:t xml:space="preserve">Статья 14</w:t>
        </w:r>
      </w:hyperlink>
      <w:r>
        <w:rPr>
          <w:sz w:val="20"/>
        </w:rPr>
        <w:t xml:space="preserve"> Федерального закона от 29 декабря 2012 г. N 273-ФЗ "Об образовании в Российской Федерации".</w:t>
      </w:r>
    </w:p>
    <w:p>
      <w:pPr>
        <w:pStyle w:val="0"/>
        <w:jc w:val="both"/>
      </w:pPr>
      <w:r>
        <w:rPr>
          <w:sz w:val="20"/>
        </w:rPr>
      </w:r>
    </w:p>
    <w:bookmarkStart w:id="67" w:name="P67"/>
    <w:bookmarkEnd w:id="67"/>
    <w:p>
      <w:pPr>
        <w:pStyle w:val="0"/>
        <w:ind w:firstLine="540"/>
        <w:jc w:val="both"/>
      </w:pPr>
      <w:r>
        <w:rPr>
          <w:sz w:val="20"/>
        </w:rPr>
        <w:t xml:space="preserve">1.9. Срок получения образования по образовательной программе в очной форме обучения вне зависимости от применяемых образовательных технологий составляет: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на базе среднего общего образования - 10 месяцев;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на базе основного общего образования - 1 год 10 месяцев.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Срок получения образования по образовательной программе в очно-заочной форме обучения вне зависимости от применяемых образовательных технологий увеличивается по сравнению со сроком получения образования в очной форме обучения не более чем на 1 год.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1.10. При обучении по индивидуальному учебному плану срок получения образования по образовательной программе вне зависимости от формы обучения составляет не более срока получения образования, установленного для соответствующей формы обучения.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При обучении по индивидуальному учебному плану обучающихся инвалидов и лиц с ограниченными возможностями здоровья срок получения образования может быть увеличен не более чем на 1 год по сравнению со сроком получения образования для соответствующей формы обучения.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При обучении по индивидуальному учебному плану несовершеннолетних обучающихся по очной форме обучения, осваивающих виды деятельности, предполагающие выполнение работ из числа работ, включенных в </w:t>
      </w:r>
      <w:hyperlink w:history="0" r:id="rId21" w:tooltip="Постановление Правительства РФ от 25.02.2000 N 163 (ред. от 20.06.2011) &quot;Об утверждении перечня тяжелых работ и работ с вредными или опасными условиями труда, при выполнении которых запрещается применение труда лиц моложе восемнадцати лет&quot; {КонсультантПлюс}">
        <w:r>
          <w:rPr>
            <w:sz w:val="20"/>
            <w:color w:val="0000ff"/>
          </w:rPr>
          <w:t xml:space="preserve">перечень</w:t>
        </w:r>
      </w:hyperlink>
      <w:r>
        <w:rPr>
          <w:sz w:val="20"/>
        </w:rPr>
        <w:t xml:space="preserve"> тяжелых работ и работ с вредными или опасными условиями труда, при выполнении которых запрещается применение труда лиц моложе 18 лет, утвержденный постановлением Правительства Российской Федерации от 25 февраля 2000 г. N 163, срок получения образования может быть увеличен не более чем на 1 год по сравнению со сроком получения образования для соответствующей формы обучения.</w:t>
      </w:r>
    </w:p>
    <w:p>
      <w:pPr>
        <w:pStyle w:val="0"/>
        <w:jc w:val="both"/>
      </w:pPr>
      <w:r>
        <w:rPr>
          <w:sz w:val="20"/>
        </w:rPr>
        <w:t xml:space="preserve">(абзац введен </w:t>
      </w:r>
      <w:hyperlink w:history="0" r:id="rId22" w:tooltip="Приказ Минпросвещения России от 27.03.2025 N 239 &quot;О внесении изменений в федеральные государственные образовательные стандарты среднего профессионального образования&quot; (Зарегистрировано в Минюсте России 28.04.2025 N 81996) {КонсультантПлюс}">
        <w:r>
          <w:rPr>
            <w:sz w:val="20"/>
            <w:color w:val="0000ff"/>
          </w:rPr>
          <w:t xml:space="preserve">Приказом</w:t>
        </w:r>
      </w:hyperlink>
      <w:r>
        <w:rPr>
          <w:sz w:val="20"/>
        </w:rPr>
        <w:t xml:space="preserve"> Минпросвещения России от 27.03.2025 N 239)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1.11. Конкретный срок получения образования в очно-заочной форме обучения, а также по индивидуальному учебному плану, в том числе при ускоренном обучении, определяется образовательной организацией самостоятельно в пределах сроков, установленных </w:t>
      </w:r>
      <w:hyperlink w:history="0" w:anchor="P67" w:tooltip="1.9. Срок получения образования по образовательной программе в очной форме обучения вне зависимости от применяемых образовательных технологий составляет:">
        <w:r>
          <w:rPr>
            <w:sz w:val="20"/>
            <w:color w:val="0000ff"/>
          </w:rPr>
          <w:t xml:space="preserve">пунктом 1.9</w:t>
        </w:r>
      </w:hyperlink>
      <w:r>
        <w:rPr>
          <w:sz w:val="20"/>
        </w:rPr>
        <w:t xml:space="preserve"> ФГОС СПО.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1.12. Для определения объема образовательной программы образовательной организацией может быть применена система зачетных единиц, при этом одна зачетная единица соответствует 32 - 36 академическим часам.</w:t>
      </w:r>
    </w:p>
    <w:bookmarkStart w:id="77" w:name="P77"/>
    <w:bookmarkEnd w:id="77"/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1.13. Область профессиональной деятельности, в которой выпускники, освоившие образовательную программу, могут осуществлять профессиональную деятельность: </w:t>
      </w:r>
      <w:hyperlink w:history="0" r:id="rId23" w:tooltip="Приказ Минтруда России от 29.09.2014 N 667н (ред. от 09.03.2017) &quot;О реестре профессиональных стандартов (перечне видов профессиональной деятельности)&quot; (Зарегистрировано в Минюсте России 19.11.2014 N 34779) {КонсультантПлюс}">
        <w:r>
          <w:rPr>
            <w:sz w:val="20"/>
            <w:color w:val="0000ff"/>
          </w:rPr>
          <w:t xml:space="preserve">40</w:t>
        </w:r>
      </w:hyperlink>
      <w:r>
        <w:rPr>
          <w:sz w:val="20"/>
        </w:rPr>
        <w:t xml:space="preserve"> Сквозные виды профессиональной деятельности в промышленности &lt;5&gt;.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--------------------------------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&lt;5&gt; </w:t>
      </w:r>
      <w:hyperlink w:history="0" r:id="rId24" w:tooltip="Приказ Минтруда России от 29.09.2014 N 667н (ред. от 09.03.2017) &quot;О реестре профессиональных стандартов (перечне видов профессиональной деятельности)&quot; (Зарегистрировано в Минюсте России 19.11.2014 N 34779) {КонсультантПлюс}">
        <w:r>
          <w:rPr>
            <w:sz w:val="20"/>
            <w:color w:val="0000ff"/>
          </w:rPr>
          <w:t xml:space="preserve">Таблица</w:t>
        </w:r>
      </w:hyperlink>
      <w:r>
        <w:rPr>
          <w:sz w:val="20"/>
        </w:rPr>
        <w:t xml:space="preserve"> приложения к приказу Министерства труда и социальной защиты Российской Федерации от 29 сентября 2014 г. N 667н "О реестре профессиональных стандартов (перечне видов профессиональной деятельности)" (зарегистрирован Министерством юстиции Российской Федерации 19 ноября 2014 г., регистрационный N 34779) с изменением, внесенным приказом Министерства труда и социальной защиты Российской Федерации от 9 марта 2017 г. N 254н (зарегистрирован Министерством юстиции Российской Федерации 29 марта 2017 г., регистрационный N 46168).</w:t>
      </w:r>
    </w:p>
    <w:p>
      <w:pPr>
        <w:pStyle w:val="0"/>
        <w:jc w:val="both"/>
      </w:pPr>
      <w:r>
        <w:rPr>
          <w:sz w:val="20"/>
        </w:rPr>
      </w:r>
    </w:p>
    <w:p>
      <w:pPr>
        <w:pStyle w:val="0"/>
        <w:ind w:firstLine="540"/>
        <w:jc w:val="both"/>
      </w:pPr>
      <w:r>
        <w:rPr>
          <w:sz w:val="20"/>
        </w:rPr>
        <w:t xml:space="preserve">Выпускники могут осуществлять профессиональную деятельность в других областях профессиональной деятельности и (или) сферах профессиональной деятельности при условии соответствия уровня их образования и полученных компетенций требованиям к квалификации работника.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1.14. При разработке образовательной программы образовательная организация устанавливает направленность, которая конкретизирует содержание программы путем ориентации на виды деятельности, с учетом соответствующей ПОП.</w:t>
      </w:r>
    </w:p>
    <w:p>
      <w:pPr>
        <w:pStyle w:val="0"/>
        <w:jc w:val="both"/>
      </w:pPr>
      <w:r>
        <w:rPr>
          <w:sz w:val="20"/>
        </w:rPr>
      </w:r>
    </w:p>
    <w:p>
      <w:pPr>
        <w:pStyle w:val="2"/>
        <w:outlineLvl w:val="1"/>
        <w:jc w:val="center"/>
      </w:pPr>
      <w:r>
        <w:rPr>
          <w:sz w:val="20"/>
        </w:rPr>
        <w:t xml:space="preserve">II. ТРЕБОВАНИЯ К СТРУКТУРЕ ОБРАЗОВАТЕЛЬНОЙ ПРОГРАММЫ</w:t>
      </w:r>
    </w:p>
    <w:p>
      <w:pPr>
        <w:pStyle w:val="0"/>
        <w:jc w:val="both"/>
      </w:pPr>
      <w:r>
        <w:rPr>
          <w:sz w:val="20"/>
        </w:rPr>
      </w:r>
    </w:p>
    <w:p>
      <w:pPr>
        <w:pStyle w:val="0"/>
        <w:ind w:firstLine="540"/>
        <w:jc w:val="both"/>
      </w:pPr>
      <w:r>
        <w:rPr>
          <w:sz w:val="20"/>
        </w:rPr>
        <w:t xml:space="preserve">2.1. Структура и объем образовательной программы </w:t>
      </w:r>
      <w:hyperlink w:history="0" w:anchor="P93" w:tooltip="Структура и объем образовательной программы">
        <w:r>
          <w:rPr>
            <w:sz w:val="20"/>
            <w:color w:val="0000ff"/>
          </w:rPr>
          <w:t xml:space="preserve">(таблица N 1)</w:t>
        </w:r>
      </w:hyperlink>
      <w:r>
        <w:rPr>
          <w:sz w:val="20"/>
        </w:rPr>
        <w:t xml:space="preserve"> включают: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дисциплины (модули);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практику;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государственную итоговую аттестацию.</w:t>
      </w:r>
    </w:p>
    <w:p>
      <w:pPr>
        <w:pStyle w:val="0"/>
        <w:jc w:val="both"/>
      </w:pPr>
      <w:r>
        <w:rPr>
          <w:sz w:val="20"/>
        </w:rPr>
      </w:r>
    </w:p>
    <w:p>
      <w:pPr>
        <w:pStyle w:val="0"/>
        <w:jc w:val="right"/>
      </w:pPr>
      <w:r>
        <w:rPr>
          <w:sz w:val="20"/>
        </w:rPr>
        <w:t xml:space="preserve">Таблица N 1</w:t>
      </w:r>
    </w:p>
    <w:p>
      <w:pPr>
        <w:pStyle w:val="0"/>
        <w:jc w:val="both"/>
      </w:pPr>
      <w:r>
        <w:rPr>
          <w:sz w:val="20"/>
        </w:rPr>
      </w:r>
    </w:p>
    <w:bookmarkStart w:id="93" w:name="P93"/>
    <w:bookmarkEnd w:id="93"/>
    <w:p>
      <w:pPr>
        <w:pStyle w:val="0"/>
        <w:jc w:val="center"/>
      </w:pPr>
      <w:r>
        <w:rPr>
          <w:sz w:val="20"/>
        </w:rPr>
        <w:t xml:space="preserve">Структура и объем образовательной программы</w:t>
      </w:r>
    </w:p>
    <w:p>
      <w:pPr>
        <w:pStyle w:val="0"/>
        <w:jc w:val="both"/>
      </w:pPr>
      <w:r>
        <w:rPr>
          <w:sz w:val="20"/>
        </w:rPr>
      </w:r>
    </w:p>
    <w:tbl>
      <w:tblPr>
        <w:tblInd w:w="0" w:type="dxa"/>
        <w:tblLayout w:type="fixed"/>
        <w:tblBorders>
          <w:top w:val="single" w:sz="4"/>
          <w:left w:val="single" w:sz="4"/>
          <w:bottom w:val="single" w:sz="4"/>
          <w:right w:val="single" w:sz="4"/>
          <w:insideV w:val="single" w:sz="4"/>
          <w:insideH w:val="single" w:sz="4"/>
        </w:tblBorders>
        <w:tblCellMar>
          <w:top w:w="102" w:type="dxa"/>
          <w:left w:w="62" w:type="dxa"/>
          <w:bottom w:w="102" w:type="dxa"/>
          <w:right w:w="62" w:type="dxa"/>
        </w:tblCellMar>
      </w:tblPr>
      <w:tblGrid>
        <w:gridCol w:w="4592"/>
        <w:gridCol w:w="4479"/>
      </w:tblGrid>
      <w:tr>
        <w:tc>
          <w:tcPr>
            <w:tcW w:w="4592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Структура образовательной программы</w:t>
            </w:r>
          </w:p>
        </w:tc>
        <w:tc>
          <w:tcPr>
            <w:tcW w:w="4479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Объем образовательной программы,</w:t>
            </w:r>
          </w:p>
          <w:p>
            <w:pPr>
              <w:pStyle w:val="0"/>
              <w:jc w:val="center"/>
            </w:pPr>
            <w:r>
              <w:rPr>
                <w:sz w:val="20"/>
              </w:rPr>
              <w:t xml:space="preserve">в академических часах</w:t>
            </w:r>
          </w:p>
        </w:tc>
      </w:tr>
      <w:tr>
        <w:tc>
          <w:tcPr>
            <w:tcW w:w="4592" w:type="dxa"/>
          </w:tcPr>
          <w:p>
            <w:pPr>
              <w:pStyle w:val="0"/>
            </w:pPr>
            <w:r>
              <w:rPr>
                <w:sz w:val="20"/>
              </w:rPr>
              <w:t xml:space="preserve">Дисциплины (модули)</w:t>
            </w:r>
          </w:p>
        </w:tc>
        <w:tc>
          <w:tcPr>
            <w:tcW w:w="4479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Не менее 612</w:t>
            </w:r>
          </w:p>
        </w:tc>
      </w:tr>
      <w:tr>
        <w:tc>
          <w:tcPr>
            <w:tcW w:w="4592" w:type="dxa"/>
          </w:tcPr>
          <w:p>
            <w:pPr>
              <w:pStyle w:val="0"/>
            </w:pPr>
            <w:r>
              <w:rPr>
                <w:sz w:val="20"/>
              </w:rPr>
              <w:t xml:space="preserve">Практика</w:t>
            </w:r>
          </w:p>
        </w:tc>
        <w:tc>
          <w:tcPr>
            <w:tcW w:w="4479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Не менее 540</w:t>
            </w:r>
          </w:p>
        </w:tc>
      </w:tr>
      <w:tr>
        <w:tc>
          <w:tcPr>
            <w:tcW w:w="4592" w:type="dxa"/>
          </w:tcPr>
          <w:p>
            <w:pPr>
              <w:pStyle w:val="0"/>
            </w:pPr>
            <w:r>
              <w:rPr>
                <w:sz w:val="20"/>
              </w:rPr>
              <w:t xml:space="preserve">Государственная итоговая аттестация</w:t>
            </w:r>
          </w:p>
        </w:tc>
        <w:tc>
          <w:tcPr>
            <w:tcW w:w="4479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36</w:t>
            </w:r>
          </w:p>
        </w:tc>
      </w:tr>
      <w:tr>
        <w:tc>
          <w:tcPr>
            <w:gridSpan w:val="2"/>
            <w:tcW w:w="9071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Общий объем образовательной программы:</w:t>
            </w:r>
          </w:p>
        </w:tc>
      </w:tr>
      <w:tr>
        <w:tc>
          <w:tcPr>
            <w:tcW w:w="4592" w:type="dxa"/>
          </w:tcPr>
          <w:p>
            <w:pPr>
              <w:pStyle w:val="0"/>
            </w:pPr>
            <w:r>
              <w:rPr>
                <w:sz w:val="20"/>
              </w:rPr>
              <w:t xml:space="preserve">на базе среднего общего образования</w:t>
            </w:r>
          </w:p>
        </w:tc>
        <w:tc>
          <w:tcPr>
            <w:tcW w:w="4479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1476</w:t>
            </w:r>
          </w:p>
        </w:tc>
      </w:tr>
      <w:tr>
        <w:tc>
          <w:tcPr>
            <w:tcW w:w="4592" w:type="dxa"/>
          </w:tcPr>
          <w:p>
            <w:pPr>
              <w:pStyle w:val="0"/>
            </w:pPr>
            <w:r>
              <w:rPr>
                <w:sz w:val="20"/>
              </w:rPr>
              <w:t xml:space="preserve">на базе основного общего образования, включая получение среднего общего образования на основе требований федерального государственного образовательного </w:t>
            </w:r>
            <w:hyperlink w:history="0" r:id="rId25" w:tooltip="Приказ Минобрнауки России от 17.05.2012 N 413 (ред. от 27.12.2023) &quot;Об утверждении федерального государственного образовательного стандарта среднего общего образования&quot; (Зарегистрировано в Минюсте России 07.06.2012 N 24480) {КонсультантПлюс}">
              <w:r>
                <w:rPr>
                  <w:sz w:val="20"/>
                  <w:color w:val="0000ff"/>
                </w:rPr>
                <w:t xml:space="preserve">стандарта</w:t>
              </w:r>
            </w:hyperlink>
            <w:r>
              <w:rPr>
                <w:sz w:val="20"/>
              </w:rPr>
              <w:t xml:space="preserve"> среднего общего образования</w:t>
            </w:r>
          </w:p>
        </w:tc>
        <w:tc>
          <w:tcPr>
            <w:tcW w:w="4479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2952</w:t>
            </w:r>
          </w:p>
        </w:tc>
      </w:tr>
    </w:tbl>
    <w:p>
      <w:pPr>
        <w:pStyle w:val="0"/>
        <w:jc w:val="both"/>
      </w:pPr>
      <w:r>
        <w:rPr>
          <w:sz w:val="20"/>
        </w:rPr>
      </w:r>
    </w:p>
    <w:p>
      <w:pPr>
        <w:pStyle w:val="0"/>
        <w:ind w:firstLine="540"/>
        <w:jc w:val="both"/>
      </w:pPr>
      <w:r>
        <w:rPr>
          <w:sz w:val="20"/>
        </w:rPr>
        <w:t xml:space="preserve">2.2. Образовательная программа включает: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социально-гуманитарный цикл;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общепрофессиональный цикл;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профессиональный цикл.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2.3. В рамках образовательной программы выделяются обязательная часть и часть, формируемая участниками образовательных отношений (вариативная часть).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Обязательная часть образовательной программы направлена на формирование общих и профессиональных компетенций, предусмотренных </w:t>
      </w:r>
      <w:hyperlink w:history="0" w:anchor="P141" w:tooltip="III. ТРЕБОВАНИЯ К РЕЗУЛЬТАТАМ ОСВОЕНИЯ">
        <w:r>
          <w:rPr>
            <w:sz w:val="20"/>
            <w:color w:val="0000ff"/>
          </w:rPr>
          <w:t xml:space="preserve">главой III</w:t>
        </w:r>
      </w:hyperlink>
      <w:r>
        <w:rPr>
          <w:sz w:val="20"/>
        </w:rPr>
        <w:t xml:space="preserve"> ФГОС СПО.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Объем обязательной части без учета объема государственной итоговой аттестации должен составлять не более 80 процентов от общего объема времени, отведенного на освоение образовательной программы.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Вариативная часть образовательной программы объемом не менее 20 процентов от общего объема времени, отведенного на освоение образовательной программы, дает возможность дальнейшего развития общих и профессиональных компетенций, в том числе за счет расширения видов деятельности, введения дополнительных видов деятельности, а также профессиональных компетенций, необходимых для обеспечения конкурентоспособности выпускника в соответствии с потребностями регионального рынка труда, а также с учетом требований цифровой экономики.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Конкретное соотношение обязательной и вариативной частей образовательной программы, объемные параметры циклов и практики образовательная организация определяет самостоятельно в соответствии с требованиями настоящего пункта, а также с учетом ПОП.</w:t>
      </w:r>
    </w:p>
    <w:bookmarkStart w:id="119" w:name="P119"/>
    <w:bookmarkEnd w:id="119"/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2.4. Образовательная программа разрабатывается образовательной организацией в соответствии с ФГОС СПО и с учетом ПОП и предполагает освоение не менее трех видов деятельности, самостоятельно выбранных образовательной организацией из следующих видов деятельности: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выполнение подготовительных, сборочных операций перед сваркой и контроль сварных соединений;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выполнение ручной дуговой сварки (наплавка, резка) плавящимся покрытым электродом (по выбору);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выполнение частично механизированной сварки (наплавки) плавлением (по выбору);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выполнение ручной дуговой сварки (наплавки) неплавящимся электродом в защитном газе (по выбору);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выполнение сварки ручным способом с внешним источником нагрева и экструзионной сварки различных деталей из полимерных материалов (по выбору);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выполнение операций термитной сварки (по выбору).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2.5. Образовательная организация при необходимости самостоятельно формирует виды деятельности в дополнение к видам деятельности, указанным в </w:t>
      </w:r>
      <w:hyperlink w:history="0" w:anchor="P119" w:tooltip="2.4. Образовательная программа разрабатывается образовательной организацией в соответствии с ФГОС СПО и с учетом ПОП и предполагает освоение не менее трех видов деятельности, самостоятельно выбранных образовательной организацией из следующих видов деятельности:">
        <w:r>
          <w:rPr>
            <w:sz w:val="20"/>
            <w:color w:val="0000ff"/>
          </w:rPr>
          <w:t xml:space="preserve">пункте 2.4</w:t>
        </w:r>
      </w:hyperlink>
      <w:r>
        <w:rPr>
          <w:sz w:val="20"/>
        </w:rPr>
        <w:t xml:space="preserve"> ФГОС СПО, в рамках вариативной части.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2.6. При освоении социально-гуманитарного, общепрофессионального и профессионального циклов (далее - учебные циклы) выделяется объем учебных занятий, практики (в профессиональном цикле) и самостоятельной работы.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На проведение учебных занятий и практики должно быть выделено не менее 70 процентов от объема учебных циклов образовательной программы в очной форме обучения и не менее 25 процентов - в очно-заочной форме обучения.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В учебные циклы включается промежуточная аттестация обучающихся, которая осуществляется в рамках освоения указанных циклов в соответствии с формой, определяемой образовательной организацией, и оценочными материалами, позволяющими оценить достижение запланированных по отдельным дисциплинам (модулям) и практикам результатов обучения.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2.7. Обязательная часть социально-гуманитарного цикла образовательной программы должна предусматривать изучение следующих дисциплин: "История России", "Иностранный язык в профессиональной деятельности", "Безопасность жизнедеятельности", "Физическая культура", "Основы финансовой грамотности", "Основы бережливого производства".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Общий объем дисциплины "Безопасность жизнедеятельности" в очной форме обучения не может быть менее 36 академических часов, из них на освоение основ военной службы (для юношей) - не менее 24 академических часов, для подгрупп девушек это время может быть использовано на освоение основ медицинских знаний.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Дисциплина "Физическая культура" должна способствовать формированию физической культуры выпускника и способности направленного использования средств физической культуры и спорта для сохранения и укрепления здоровья, психофизической подготовке к профессиональной деятельности, предупреждению профессиональных заболеваний.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Для обучающихся инвалидов и лиц с ограниченными возможностями здоровья образовательная организация устанавливает особый порядок освоения дисциплины "Физическая культура" с учетом состояния их здоровья.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2.8. Обязательная часть общепрофессионального цикла образовательной программы должна предусматривать изучение следующих дисциплин: "Основы инженерной графики", "Основы электротехники", "Материаловедение", "Допуски и технические измерения".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2.9. Профессиональный цикл образовательной программы включает профессиональные модули, которые формируются в соответствии с выбранными видами деятельности, предусмотренными </w:t>
      </w:r>
      <w:hyperlink w:history="0" w:anchor="P119" w:tooltip="2.4. Образовательная программа разрабатывается образовательной организацией в соответствии с ФГОС СПО и с учетом ПОП и предполагает освоение не менее трех видов деятельности, самостоятельно выбранных образовательной организацией из следующих видов деятельности:">
        <w:r>
          <w:rPr>
            <w:sz w:val="20"/>
            <w:color w:val="0000ff"/>
          </w:rPr>
          <w:t xml:space="preserve">пунктом 2.4</w:t>
        </w:r>
      </w:hyperlink>
      <w:r>
        <w:rPr>
          <w:sz w:val="20"/>
        </w:rPr>
        <w:t xml:space="preserve"> ФГОС СПО, а также дополнительными видами деятельности, сформированными образовательными организациями самостоятельно. В состав профессионального модуля входит один или несколько междисциплинарных курсов, которые устанавливаются образовательной организацией самостоятельно с учетом ПОП. Объем профессионального модуля составляет не менее 5 зачетных единиц.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2.10. Практика входит в профессиональный цикл и имеет следующие виды - учебная практика и производственная практика, которые реализуются в форме практической подготовки. Учебная и производственная практики реализуются как в несколько периодов, так и рассредоточенно, чередуясь с учебными занятиями. Типы практики устанавливаются образовательной организацией самостоятельно с учетом ПОП.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2.11. Образовательная организация должна предоставлять инвалидам и лицам с ограниченными возможностями здоровья (по их заявлению) возможность обучения по образовательной программе, учитывающей особенности их психофизического развития, индивидуальных возможностей и при необходимости обеспечивающей коррекцию нарушений развития и социальную адаптацию указанных лиц.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2.12. Государственная итоговая аттестация проводится в форме демонстрационного экзамена.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2.13. Государственная итоговая аттестация завершается присвоением квалификации квалифицированного рабочего, служащего, указанной в </w:t>
      </w:r>
      <w:hyperlink w:history="0" w:anchor="P44" w:tooltip="1.1. Настоящий федеральный государственный образовательный стандарт среднего профессионального образования представляет собой совокупность обязательных требований при реализации образовательных программ среднего профессионального образования - программ подготовки квалифицированных рабочих, служащих по профессии 15.01.05 Сварщик (ручной и частично механизированной сварки (наплавки) (далее соответственно - ФГОС СПО, образовательная программа, профессия) в соответствии с квалификацией квалифицированного раб...">
        <w:r>
          <w:rPr>
            <w:sz w:val="20"/>
            <w:color w:val="0000ff"/>
          </w:rPr>
          <w:t xml:space="preserve">пункте 1.1</w:t>
        </w:r>
      </w:hyperlink>
      <w:r>
        <w:rPr>
          <w:sz w:val="20"/>
        </w:rPr>
        <w:t xml:space="preserve"> ФГОС СПО.</w:t>
      </w:r>
    </w:p>
    <w:p>
      <w:pPr>
        <w:pStyle w:val="0"/>
        <w:jc w:val="both"/>
      </w:pPr>
      <w:r>
        <w:rPr>
          <w:sz w:val="20"/>
        </w:rPr>
      </w:r>
    </w:p>
    <w:bookmarkStart w:id="141" w:name="P141"/>
    <w:bookmarkEnd w:id="141"/>
    <w:p>
      <w:pPr>
        <w:pStyle w:val="2"/>
        <w:outlineLvl w:val="1"/>
        <w:jc w:val="center"/>
      </w:pPr>
      <w:r>
        <w:rPr>
          <w:sz w:val="20"/>
        </w:rPr>
        <w:t xml:space="preserve">III. ТРЕБОВАНИЯ К РЕЗУЛЬТАТАМ ОСВОЕНИЯ</w:t>
      </w:r>
    </w:p>
    <w:p>
      <w:pPr>
        <w:pStyle w:val="2"/>
        <w:jc w:val="center"/>
      </w:pPr>
      <w:r>
        <w:rPr>
          <w:sz w:val="20"/>
        </w:rPr>
        <w:t xml:space="preserve">ОБРАЗОВАТЕЛЬНОЙ ПРОГРАММЫ</w:t>
      </w:r>
    </w:p>
    <w:p>
      <w:pPr>
        <w:pStyle w:val="0"/>
        <w:jc w:val="both"/>
      </w:pPr>
      <w:r>
        <w:rPr>
          <w:sz w:val="20"/>
        </w:rPr>
      </w:r>
    </w:p>
    <w:p>
      <w:pPr>
        <w:pStyle w:val="0"/>
        <w:ind w:firstLine="540"/>
        <w:jc w:val="both"/>
      </w:pPr>
      <w:r>
        <w:rPr>
          <w:sz w:val="20"/>
        </w:rPr>
        <w:t xml:space="preserve">3.1. В результате освоения образовательной программы у выпускника должны быть сформированы общие и профессиональные компетенции.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3.2. Выпускник, освоивший образовательную программу, должен обладать следующими общими компетенциями (далее - ОК):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ОК 01. Выбирать способы решения задач профессиональной деятельности применительно к различным контекстам;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ОК 02. Использовать современные средства поиска, анализа и интерпретации информации и информационные технологии для выполнения задач профессиональной деятельности;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ОК 03. Планировать и реализовывать собственное профессиональное и личностное развитие, предпринимательскую деятельность в профессиональной сфере, использовать знания по правовой и финансовой грамотности в различных жизненных ситуациях;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ОК 04. Эффективно взаимодействовать и работать в коллективе и команде;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ОК 05. Осуществлять устную и письменную коммуникацию на государственном языке Российской Федерации с учетом особенностей социального и культурного контекста;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ОК 06. Проявлять гражданско-патриотическую позицию, демонстрировать осознанное поведение на основе традиционных российских духовно-нравственных ценностей, в том числе с учетом гармонизации межнациональных и межрелигиозных отношений, применять стандарты антикоррупционного поведения;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ОК 07. Содействовать сохранению окружающей среды, ресурсосбережению, применять знания об изменении климата, принципы бережливого производства, эффективно действовать в чрезвычайных ситуациях;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ОК 08. Использовать средства физической культуры для сохранения и укрепления здоровья в процессе профессиональной деятельности и поддержания необходимого уровня физической подготовленности;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ОК 09. Пользоваться профессиональной документацией на государственном и иностранном языках.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3.3. Выпускник, освоивший образовательную программу, должен обладать профессиональными компетенциями (далее - ПК), соответствующими выбранным видам деятельности (таблица N 2), предусмотренным </w:t>
      </w:r>
      <w:hyperlink w:history="0" w:anchor="P119" w:tooltip="2.4. Образовательная программа разрабатывается образовательной организацией в соответствии с ФГОС СПО и с учетом ПОП и предполагает освоение не менее трех видов деятельности, самостоятельно выбранных образовательной организацией из следующих видов деятельности:">
        <w:r>
          <w:rPr>
            <w:sz w:val="20"/>
            <w:color w:val="0000ff"/>
          </w:rPr>
          <w:t xml:space="preserve">пунктом 2.4</w:t>
        </w:r>
      </w:hyperlink>
      <w:r>
        <w:rPr>
          <w:sz w:val="20"/>
        </w:rPr>
        <w:t xml:space="preserve"> ФГОС СПО, сформированными в том числе на основе профессиональных стандартов (при наличии), указанных в ПОП:</w:t>
      </w:r>
    </w:p>
    <w:p>
      <w:pPr>
        <w:pStyle w:val="0"/>
        <w:jc w:val="both"/>
      </w:pPr>
      <w:r>
        <w:rPr>
          <w:sz w:val="20"/>
        </w:rPr>
      </w:r>
    </w:p>
    <w:p>
      <w:pPr>
        <w:pStyle w:val="0"/>
        <w:jc w:val="right"/>
      </w:pPr>
      <w:r>
        <w:rPr>
          <w:sz w:val="20"/>
        </w:rPr>
        <w:t xml:space="preserve">Таблица N 2</w:t>
      </w:r>
    </w:p>
    <w:p>
      <w:pPr>
        <w:pStyle w:val="0"/>
        <w:jc w:val="both"/>
      </w:pPr>
      <w:r>
        <w:rPr>
          <w:sz w:val="20"/>
        </w:rPr>
      </w:r>
    </w:p>
    <w:tbl>
      <w:tblPr>
        <w:tblInd w:w="0" w:type="dxa"/>
        <w:tblLayout w:type="fixed"/>
        <w:tblBorders>
          <w:top w:val="single" w:sz="4"/>
          <w:left w:val="single" w:sz="4"/>
          <w:bottom w:val="single" w:sz="4"/>
          <w:right w:val="single" w:sz="4"/>
          <w:insideV w:val="single" w:sz="4"/>
          <w:insideH w:val="single" w:sz="4"/>
        </w:tblBorders>
        <w:tblCellMar>
          <w:top w:w="102" w:type="dxa"/>
          <w:left w:w="62" w:type="dxa"/>
          <w:bottom w:w="102" w:type="dxa"/>
          <w:right w:w="62" w:type="dxa"/>
        </w:tblCellMar>
      </w:tblPr>
      <w:tblGrid>
        <w:gridCol w:w="2835"/>
        <w:gridCol w:w="6236"/>
      </w:tblGrid>
      <w:tr>
        <w:tc>
          <w:tcPr>
            <w:tcW w:w="2835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Виды деятельности</w:t>
            </w:r>
          </w:p>
        </w:tc>
        <w:tc>
          <w:tcPr>
            <w:tcW w:w="6236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Профессиональные компетенции, соответствующие видам деятельности</w:t>
            </w:r>
          </w:p>
        </w:tc>
      </w:tr>
      <w:tr>
        <w:tc>
          <w:tcPr>
            <w:tcW w:w="2835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1</w:t>
            </w:r>
          </w:p>
        </w:tc>
        <w:tc>
          <w:tcPr>
            <w:tcW w:w="6236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2</w:t>
            </w:r>
          </w:p>
        </w:tc>
      </w:tr>
      <w:tr>
        <w:tc>
          <w:tcPr>
            <w:tcW w:w="2835" w:type="dxa"/>
          </w:tcPr>
          <w:p>
            <w:pPr>
              <w:pStyle w:val="0"/>
            </w:pPr>
            <w:r>
              <w:rPr>
                <w:sz w:val="20"/>
              </w:rPr>
              <w:t xml:space="preserve">выполнение подготовительных сборочных операций перед сваркой и контроль сварных соединений</w:t>
            </w:r>
          </w:p>
        </w:tc>
        <w:tc>
          <w:tcPr>
            <w:tcW w:w="6236" w:type="dxa"/>
          </w:tcPr>
          <w:p>
            <w:pPr>
              <w:pStyle w:val="0"/>
              <w:jc w:val="both"/>
            </w:pPr>
            <w:r>
              <w:rPr>
                <w:sz w:val="20"/>
              </w:rPr>
              <w:t xml:space="preserve">ПК 1.1. Проводить сборочные операции перед сваркой с использованием конструкторской, производственно-технологической и нормативной документации.</w:t>
            </w:r>
          </w:p>
          <w:p>
            <w:pPr>
              <w:pStyle w:val="0"/>
              <w:jc w:val="both"/>
            </w:pPr>
            <w:r>
              <w:rPr>
                <w:sz w:val="20"/>
              </w:rPr>
              <w:t xml:space="preserve">ПК 1.2. Выбирать пространственное положение сварного шва для сварки элементов конструкции (изделий, узлов, деталей).</w:t>
            </w:r>
          </w:p>
          <w:p>
            <w:pPr>
              <w:pStyle w:val="0"/>
              <w:jc w:val="both"/>
            </w:pPr>
            <w:r>
              <w:rPr>
                <w:sz w:val="20"/>
              </w:rPr>
              <w:t xml:space="preserve">ПК 1.3. Применять сборочные приспособления для сборки элементов конструкции (изделий, узлов, деталей) под сварку.</w:t>
            </w:r>
          </w:p>
          <w:p>
            <w:pPr>
              <w:pStyle w:val="0"/>
              <w:jc w:val="both"/>
            </w:pPr>
            <w:r>
              <w:rPr>
                <w:sz w:val="20"/>
              </w:rPr>
              <w:t xml:space="preserve">ПК 1.4. Проводить подготовку элементов конструкции (изделий, узлов, деталей) под сварку, зачистку сварных швов и удаление поверхностных дефектов после сварки с использованием ручного и механизированного инструмента.</w:t>
            </w:r>
          </w:p>
          <w:p>
            <w:pPr>
              <w:pStyle w:val="0"/>
              <w:jc w:val="both"/>
            </w:pPr>
            <w:r>
              <w:rPr>
                <w:sz w:val="20"/>
              </w:rPr>
              <w:t xml:space="preserve">ПК 1.5. Проводить контроль собранных элементов конструкции (изделий, узлов, деталей) на соответствие геометрических размеров требованиям конструкторской и производственно-технологической документации по сварке.</w:t>
            </w:r>
          </w:p>
        </w:tc>
      </w:tr>
      <w:tr>
        <w:tc>
          <w:tcPr>
            <w:tcW w:w="2835" w:type="dxa"/>
          </w:tcPr>
          <w:p>
            <w:pPr>
              <w:pStyle w:val="0"/>
            </w:pPr>
            <w:r>
              <w:rPr>
                <w:sz w:val="20"/>
              </w:rPr>
              <w:t xml:space="preserve">выполнение ручной дуговой сварки (наплавка, резка) плавящимся покрытым электродом (по выбору)</w:t>
            </w:r>
          </w:p>
        </w:tc>
        <w:tc>
          <w:tcPr>
            <w:tcW w:w="6236" w:type="dxa"/>
          </w:tcPr>
          <w:p>
            <w:pPr>
              <w:pStyle w:val="0"/>
              <w:jc w:val="both"/>
            </w:pPr>
            <w:r>
              <w:rPr>
                <w:sz w:val="20"/>
              </w:rPr>
              <w:t xml:space="preserve">ПК X.1. Проверять работоспособность и исправность сварочного оборудования для ручной дуговой сварки (наплавка, резка) плавящимся покрытым электродом.</w:t>
            </w:r>
          </w:p>
          <w:p>
            <w:pPr>
              <w:pStyle w:val="0"/>
              <w:jc w:val="both"/>
            </w:pPr>
            <w:r>
              <w:rPr>
                <w:sz w:val="20"/>
              </w:rPr>
              <w:t xml:space="preserve">ПК X.2. Настраивать сварочное оборудование для ручной дуговой сварки (наплавки, резки) плавящимся покрытым электродом.</w:t>
            </w:r>
          </w:p>
          <w:p>
            <w:pPr>
              <w:pStyle w:val="0"/>
              <w:jc w:val="both"/>
            </w:pPr>
            <w:r>
              <w:rPr>
                <w:sz w:val="20"/>
              </w:rPr>
              <w:t xml:space="preserve">ПК X.3. Выполнять предварительный, сопутствующий (межслойный) подогрев металла в соответствии с требованиями производственно-технологической документации по сварке.</w:t>
            </w:r>
          </w:p>
          <w:p>
            <w:pPr>
              <w:pStyle w:val="0"/>
              <w:jc w:val="both"/>
            </w:pPr>
            <w:r>
              <w:rPr>
                <w:sz w:val="20"/>
              </w:rPr>
              <w:t xml:space="preserve">ПК X.4. Выполнять ручную дуговую сварку (наплавку, резку) плавящимся покрытым электродом простых деталей неответственных конструкций в нижнем, вертикальном и горизонтальном пространственном положении сварного шва.</w:t>
            </w:r>
          </w:p>
          <w:p>
            <w:pPr>
              <w:pStyle w:val="0"/>
              <w:jc w:val="both"/>
            </w:pPr>
            <w:r>
              <w:rPr>
                <w:sz w:val="20"/>
              </w:rPr>
              <w:t xml:space="preserve">ПК X.5. Выполнять дуговую резку металла</w:t>
            </w:r>
          </w:p>
        </w:tc>
      </w:tr>
      <w:tr>
        <w:tc>
          <w:tcPr>
            <w:tcW w:w="2835" w:type="dxa"/>
          </w:tcPr>
          <w:p>
            <w:pPr>
              <w:pStyle w:val="0"/>
              <w:jc w:val="both"/>
            </w:pPr>
            <w:r>
              <w:rPr>
                <w:sz w:val="20"/>
              </w:rPr>
              <w:t xml:space="preserve">выполнение частично механизированной сварки (наплавки) плавлением (по выбору)</w:t>
            </w:r>
          </w:p>
        </w:tc>
        <w:tc>
          <w:tcPr>
            <w:tcW w:w="6236" w:type="dxa"/>
          </w:tcPr>
          <w:p>
            <w:pPr>
              <w:pStyle w:val="0"/>
              <w:jc w:val="both"/>
            </w:pPr>
            <w:r>
              <w:rPr>
                <w:sz w:val="20"/>
              </w:rPr>
              <w:t xml:space="preserve">ПК X.1. Настраивать сварочное оборудование для частично механизированной сварки (наплавки) плавлением.</w:t>
            </w:r>
          </w:p>
          <w:p>
            <w:pPr>
              <w:pStyle w:val="0"/>
              <w:jc w:val="both"/>
            </w:pPr>
            <w:r>
              <w:rPr>
                <w:sz w:val="20"/>
              </w:rPr>
              <w:t xml:space="preserve">ПК X.2. Выполнять предварительный, сопутствующий (межслойный) подогрев металла в соответствии с требованиями производственно-технологической документации по сварке.</w:t>
            </w:r>
          </w:p>
          <w:p>
            <w:pPr>
              <w:pStyle w:val="0"/>
              <w:jc w:val="both"/>
            </w:pPr>
            <w:r>
              <w:rPr>
                <w:sz w:val="20"/>
              </w:rPr>
              <w:t xml:space="preserve">ПК X.3. Выполнять частично механизированную сварку (наплавку) плавлением простых деталей неответственных конструкций в нижнем, вертикальном и горизонтальном пространственном положении сварного шва</w:t>
            </w:r>
          </w:p>
        </w:tc>
      </w:tr>
      <w:tr>
        <w:tc>
          <w:tcPr>
            <w:tcW w:w="2835" w:type="dxa"/>
          </w:tcPr>
          <w:p>
            <w:pPr>
              <w:pStyle w:val="0"/>
            </w:pPr>
            <w:r>
              <w:rPr>
                <w:sz w:val="20"/>
              </w:rPr>
              <w:t xml:space="preserve">выполнение ручной дуговой сварки (наплавки) неплавящимся электродом в защитном газе (по выбору)</w:t>
            </w:r>
          </w:p>
        </w:tc>
        <w:tc>
          <w:tcPr>
            <w:tcW w:w="6236" w:type="dxa"/>
            <w:vAlign w:val="center"/>
          </w:tcPr>
          <w:p>
            <w:pPr>
              <w:pStyle w:val="0"/>
              <w:jc w:val="both"/>
            </w:pPr>
            <w:r>
              <w:rPr>
                <w:sz w:val="20"/>
              </w:rPr>
              <w:t xml:space="preserve">ПК X.1. Проверять работоспособность и исправность оборудования для ручной дуговой сварки (наплавки) неплавящимся электродом в защитном газе.</w:t>
            </w:r>
          </w:p>
          <w:p>
            <w:pPr>
              <w:pStyle w:val="0"/>
              <w:jc w:val="both"/>
            </w:pPr>
            <w:r>
              <w:rPr>
                <w:sz w:val="20"/>
              </w:rPr>
              <w:t xml:space="preserve">ПК X.2. Настраивать сварочное оборудование для ручной дуговой сварки (наплавки) неплавящимся электродом в защитном газе.</w:t>
            </w:r>
          </w:p>
          <w:p>
            <w:pPr>
              <w:pStyle w:val="0"/>
              <w:jc w:val="both"/>
            </w:pPr>
            <w:r>
              <w:rPr>
                <w:sz w:val="20"/>
              </w:rPr>
              <w:t xml:space="preserve">ПК X.3. Выполнять предварительный, сопутствующий (межслойный) подогрев металла в соответствии с требованиями производственно-технологической документации по сварке.</w:t>
            </w:r>
          </w:p>
          <w:p>
            <w:pPr>
              <w:pStyle w:val="0"/>
              <w:jc w:val="both"/>
            </w:pPr>
            <w:r>
              <w:rPr>
                <w:sz w:val="20"/>
              </w:rPr>
              <w:t xml:space="preserve">ПК X.4. Выполнять ручную дуговую сварку (наплавку) неплавящимся электродом в защитном газе простых деталей неответственных конструкций в нижнем, вертикальном и горизонтальном пространственном положении сварного шва.</w:t>
            </w:r>
          </w:p>
        </w:tc>
      </w:tr>
      <w:tr>
        <w:tc>
          <w:tcPr>
            <w:tcW w:w="2835" w:type="dxa"/>
          </w:tcPr>
          <w:p>
            <w:pPr>
              <w:pStyle w:val="0"/>
            </w:pPr>
            <w:r>
              <w:rPr>
                <w:sz w:val="20"/>
              </w:rPr>
              <w:t xml:space="preserve">выполнение сварки ручным способом с внешним источником нагрева и экструзионной сварки различных деталей из полимерных материалов (по выбору)</w:t>
            </w:r>
          </w:p>
        </w:tc>
        <w:tc>
          <w:tcPr>
            <w:tcW w:w="6236" w:type="dxa"/>
          </w:tcPr>
          <w:p>
            <w:pPr>
              <w:pStyle w:val="0"/>
              <w:jc w:val="both"/>
            </w:pPr>
            <w:r>
              <w:rPr>
                <w:sz w:val="20"/>
              </w:rPr>
              <w:t xml:space="preserve">ПК X.1. Подготавливать и проверять применяемые для сварки ручным способом с внешним источником нагрева (сварки нагретым газом), сварки нагретым инструментом, экструзионной сварки материалы (газ- теплоноситель, присадочные прутки, пленки, листы, полимерные трубы и стыковочные элементы (муфты, тройники и так далее).</w:t>
            </w:r>
          </w:p>
          <w:p>
            <w:pPr>
              <w:pStyle w:val="0"/>
              <w:jc w:val="both"/>
            </w:pPr>
            <w:r>
              <w:rPr>
                <w:sz w:val="20"/>
              </w:rPr>
              <w:t xml:space="preserve">ПК X.2. Проверять работоспособность и исправность оборудования для сварки ручным способом с внешним источником нагрева (сварки нагретым газом), сварки нагретым инструментом, экструзионной сварки.</w:t>
            </w:r>
          </w:p>
          <w:p>
            <w:pPr>
              <w:pStyle w:val="0"/>
              <w:jc w:val="both"/>
            </w:pPr>
            <w:r>
              <w:rPr>
                <w:sz w:val="20"/>
              </w:rPr>
              <w:t xml:space="preserve">ПК X.3. Настраивать сварочное оборудование для сварки ручным способом с внешним источником нагрева (сварки нагретым газом), сварки нагретым инструментом, экструзионной сварки.</w:t>
            </w:r>
          </w:p>
          <w:p>
            <w:pPr>
              <w:pStyle w:val="0"/>
              <w:jc w:val="both"/>
            </w:pPr>
            <w:r>
              <w:rPr>
                <w:sz w:val="20"/>
              </w:rPr>
              <w:t xml:space="preserve">ПК X.4. Устанавливать свариваемые детали в технологические приспособления с последующим контролем.</w:t>
            </w:r>
          </w:p>
          <w:p>
            <w:pPr>
              <w:pStyle w:val="0"/>
              <w:jc w:val="both"/>
            </w:pPr>
            <w:r>
              <w:rPr>
                <w:sz w:val="20"/>
              </w:rPr>
              <w:t xml:space="preserve">ПК X.5. Выполнять сварку ручным способом с внешним источником нагрева (сварку нагретым газом), сварку нагретым инструментом, экструзионную сварку стыковых, нахлесточных, угловых и тавровых сварных соединений простых деталей неответственных конструкций.</w:t>
            </w:r>
          </w:p>
        </w:tc>
      </w:tr>
      <w:tr>
        <w:tc>
          <w:tcPr>
            <w:tcW w:w="2835" w:type="dxa"/>
          </w:tcPr>
          <w:p>
            <w:pPr>
              <w:pStyle w:val="0"/>
            </w:pPr>
            <w:r>
              <w:rPr>
                <w:sz w:val="20"/>
              </w:rPr>
              <w:t xml:space="preserve">выполнение операций термитной сварки (по выбору)</w:t>
            </w:r>
          </w:p>
        </w:tc>
        <w:tc>
          <w:tcPr>
            <w:tcW w:w="6236" w:type="dxa"/>
            <w:vAlign w:val="center"/>
          </w:tcPr>
          <w:p>
            <w:pPr>
              <w:pStyle w:val="0"/>
              <w:jc w:val="both"/>
            </w:pPr>
            <w:r>
              <w:rPr>
                <w:sz w:val="20"/>
              </w:rPr>
              <w:t xml:space="preserve">ПК X.1. Изготавливать паяльно-сварочные стержни и термитную смесь, соответствующие типу свариваемых деталей.</w:t>
            </w:r>
          </w:p>
          <w:p>
            <w:pPr>
              <w:pStyle w:val="0"/>
              <w:jc w:val="both"/>
            </w:pPr>
            <w:r>
              <w:rPr>
                <w:sz w:val="20"/>
              </w:rPr>
              <w:t xml:space="preserve">ПК X.2. Выполнять сборку деталей для термитной сварки с использованием различных универсальных, специальных приспособлений и оснастки.</w:t>
            </w:r>
          </w:p>
          <w:p>
            <w:pPr>
              <w:pStyle w:val="0"/>
              <w:jc w:val="both"/>
            </w:pPr>
            <w:r>
              <w:rPr>
                <w:sz w:val="20"/>
              </w:rPr>
              <w:t xml:space="preserve">ПК X.3. Выполнять термитную сварку с использованием огнеупорных и формовочных материалов.</w:t>
            </w:r>
          </w:p>
          <w:p>
            <w:pPr>
              <w:pStyle w:val="0"/>
              <w:jc w:val="both"/>
            </w:pPr>
            <w:r>
              <w:rPr>
                <w:sz w:val="20"/>
              </w:rPr>
              <w:t xml:space="preserve">ПК X.4. Выполнять термитную сварку простых деталей неответственных конструкций.</w:t>
            </w:r>
          </w:p>
          <w:p>
            <w:pPr>
              <w:pStyle w:val="0"/>
              <w:jc w:val="both"/>
            </w:pPr>
            <w:r>
              <w:rPr>
                <w:sz w:val="20"/>
              </w:rPr>
              <w:t xml:space="preserve">ПК X.5. Демонтировать универсальные, специальные приспособления и оснастку после термитной сварки.</w:t>
            </w:r>
          </w:p>
        </w:tc>
      </w:tr>
    </w:tbl>
    <w:p>
      <w:pPr>
        <w:pStyle w:val="0"/>
        <w:jc w:val="both"/>
      </w:pPr>
      <w:r>
        <w:rPr>
          <w:sz w:val="20"/>
        </w:rPr>
      </w:r>
    </w:p>
    <w:p>
      <w:pPr>
        <w:pStyle w:val="0"/>
        <w:ind w:firstLine="540"/>
        <w:jc w:val="both"/>
      </w:pPr>
      <w:r>
        <w:rPr>
          <w:sz w:val="20"/>
        </w:rPr>
        <w:t xml:space="preserve">3.4. Образовательная организация при необходимости самостоятельно включает в образовательную программу дополнительные профессиональные компетенции по видам деятельности, установленными в соответствии с </w:t>
      </w:r>
      <w:hyperlink w:history="0" w:anchor="P119" w:tooltip="2.4. Образовательная программа разрабатывается образовательной организацией в соответствии с ФГОС СПО и с учетом ПОП и предполагает освоение не менее трех видов деятельности, самостоятельно выбранных образовательной организацией из следующих видов деятельности:">
        <w:r>
          <w:rPr>
            <w:sz w:val="20"/>
            <w:color w:val="0000ff"/>
          </w:rPr>
          <w:t xml:space="preserve">пунктом 2.4</w:t>
        </w:r>
      </w:hyperlink>
      <w:r>
        <w:rPr>
          <w:sz w:val="20"/>
        </w:rPr>
        <w:t xml:space="preserve"> ФГОС СПО, а также по видам деятельности, сформированным в вариативной части образовательной программы образовательной организацией для учета потребностей регионального рынка труда.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Образовательная организация при необходимости вводит в вариативную часть учебных циклов образовательной программы модуль по освоению компетенций цифровой экономики, соответствующих одному или нескольким видам деятельности, осваиваемым в рамках образовательной программы.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3.5. Образовательная организация с учетом ПОП самостоятельно планирует результаты обучения по отдельным дисциплинам (модулям) и практикам, которые должны быть соотнесены с требуемыми результатами освоения образовательной программы.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Совокупность запланированных результатов обучения по дисциплинам (модулям) и практикам должна обеспечивать выпускнику освоение всех компетенций, установленных образовательной программой.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3.6. Обучающиеся, осваивающие образовательную программу, могут освоить профессию рабочего, должность служащего (одну или несколько) в соответствии с перечнем профессий рабочих, должностей служащих, по которым осуществляется профессиональное обучение &lt;6&gt;.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--------------------------------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&lt;6&gt; </w:t>
      </w:r>
      <w:hyperlink w:history="0" r:id="rId26" w:tooltip="Федеральный закон от 29.12.2012 N 273-ФЗ (ред. от 23.05.2025) &quot;Об образовании в Российской Федерации&quot; {КонсультантПлюс}">
        <w:r>
          <w:rPr>
            <w:sz w:val="20"/>
            <w:color w:val="0000ff"/>
          </w:rPr>
          <w:t xml:space="preserve">Часть 7 статьи 73</w:t>
        </w:r>
      </w:hyperlink>
      <w:r>
        <w:rPr>
          <w:sz w:val="20"/>
        </w:rPr>
        <w:t xml:space="preserve"> Федерального закона от 29 декабря 2012 г. N 273-ФЗ "Об образовании в Российской Федерации".</w:t>
      </w:r>
    </w:p>
    <w:p>
      <w:pPr>
        <w:pStyle w:val="0"/>
        <w:jc w:val="both"/>
      </w:pPr>
      <w:r>
        <w:rPr>
          <w:sz w:val="20"/>
        </w:rPr>
      </w:r>
    </w:p>
    <w:p>
      <w:pPr>
        <w:pStyle w:val="2"/>
        <w:outlineLvl w:val="1"/>
        <w:jc w:val="center"/>
      </w:pPr>
      <w:r>
        <w:rPr>
          <w:sz w:val="20"/>
        </w:rPr>
        <w:t xml:space="preserve">IV. ТРЕБОВАНИЯ К УСЛОВИЯМ РЕАЛИЗАЦИИ</w:t>
      </w:r>
    </w:p>
    <w:p>
      <w:pPr>
        <w:pStyle w:val="2"/>
        <w:jc w:val="center"/>
      </w:pPr>
      <w:r>
        <w:rPr>
          <w:sz w:val="20"/>
        </w:rPr>
        <w:t xml:space="preserve">ОБРАЗОВАТЕЛЬНОЙ ПРОГРАММЫ</w:t>
      </w:r>
    </w:p>
    <w:p>
      <w:pPr>
        <w:pStyle w:val="0"/>
        <w:jc w:val="both"/>
      </w:pPr>
      <w:r>
        <w:rPr>
          <w:sz w:val="20"/>
        </w:rPr>
      </w:r>
    </w:p>
    <w:p>
      <w:pPr>
        <w:pStyle w:val="0"/>
        <w:ind w:firstLine="540"/>
        <w:jc w:val="both"/>
      </w:pPr>
      <w:r>
        <w:rPr>
          <w:sz w:val="20"/>
        </w:rPr>
        <w:t xml:space="preserve">4.1. Образовательная организация осуществляет образовательную деятельность по реализации образовательной программы среднего профессионального образования в соответствии с действующими санитарными нормами и правилами &lt;7&gt;.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--------------------------------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&lt;7&gt; Федеральный </w:t>
      </w:r>
      <w:hyperlink w:history="0" r:id="rId27" w:tooltip="Федеральный закон от 30.03.1999 N 52-ФЗ (ред. от 26.12.2024) &quot;О санитарно-эпидемиологическом благополучии населения&quot; (с изм. и доп., вступ. в силу с 01.03.2025) {КонсультантПлюс}">
        <w:r>
          <w:rPr>
            <w:sz w:val="20"/>
            <w:color w:val="0000ff"/>
          </w:rPr>
          <w:t xml:space="preserve">закон</w:t>
        </w:r>
      </w:hyperlink>
      <w:r>
        <w:rPr>
          <w:sz w:val="20"/>
        </w:rPr>
        <w:t xml:space="preserve"> от 30 марта 1999 г. N 52-ФЗ "О санитарно-эпидемиологическом благополучии населения"; санитарные правила </w:t>
      </w:r>
      <w:hyperlink w:history="0" r:id="rId28" w:tooltip="Постановление Главного государственного санитарного врача РФ от 28.09.2020 N 28 (ред. от 30.08.2024) &quot;Об утверждении санитарных правил СП 2.4.3648-20 &quot;Санитарно-эпидемиологические требования к организациям воспитания и обучения, отдыха и оздоровления детей и молодежи&quot; (вместе с &quot;СП 2.4.3648-20. Санитарные правила...&quot;) (Зарегистрировано в Минюсте России 18.12.2020 N 61573) {КонсультантПлюс}">
        <w:r>
          <w:rPr>
            <w:sz w:val="20"/>
            <w:color w:val="0000ff"/>
          </w:rPr>
          <w:t xml:space="preserve">СП 2.4.3648-20</w:t>
        </w:r>
      </w:hyperlink>
      <w:r>
        <w:rPr>
          <w:sz w:val="20"/>
        </w:rPr>
        <w:t xml:space="preserve"> "Санитарно-эпидемиологические требования к организациям воспитания и обучения, отдыха и оздоровления детей и молодежи", утвержденные постановлением Главного государственного санитарного врача Российской Федерации от 28 сентября 2020 г. N 28 (зарегистрировано Министерством юстиции Российской Федерации 18 декабря 2020 г., регистрационный N 61573), действующие до 1 января 2027 г.; санитарно-эпидемиологические правила и нормы </w:t>
      </w:r>
      <w:hyperlink w:history="0" r:id="rId29" w:tooltip="Постановление Главного государственного санитарного врача РФ от 27.10.2020 N 32 (ред. от 22.08.2024) &quot;Об утверждении санитарно-эпидемиологических правил и норм СанПиН 2.3/2.4.3590-20 &quot;Санитарно-эпидемиологические требования к организации общественного питания населения&quot; (вместе с &quot;СанПиН 2.3/2.4.3590-20. Санитарно-эпидемиологические правила и нормы...&quot;) (Зарегистрировано в Минюсте России 11.11.2020 N 60833) {КонсультантПлюс}">
        <w:r>
          <w:rPr>
            <w:sz w:val="20"/>
            <w:color w:val="0000ff"/>
          </w:rPr>
          <w:t xml:space="preserve">СанПиН 2.3/2.4.3590-20</w:t>
        </w:r>
      </w:hyperlink>
      <w:r>
        <w:rPr>
          <w:sz w:val="20"/>
        </w:rPr>
        <w:t xml:space="preserve"> "Санитарно-эпидемиологические требования к организации общественного питания населения", утвержденные постановлением Главного государственного санитарного врача Российской Федерации от 27 октября 2020 г. N 32 (зарегистрировано Министерством юстиции Российской Федерации 11 ноября 2020 г., регистрационный N 60833), действующие до 1 января 2027 г.; санитарные правила и нормы </w:t>
      </w:r>
      <w:hyperlink w:history="0" r:id="rId30" w:tooltip="Постановление Главного государственного санитарного врача РФ от 28.01.2021 N 2 (ред. от 30.12.2022) &quot;Об утверждении санитарных правил и норм СанПиН 1.2.3685-21 &quot;Гигиенические нормативы и требования к обеспечению безопасности и (или) безвредности для человека факторов среды обитания&quot; (вместе с &quot;СанПиН 1.2.3685-21. Санитарные правила и нормы...&quot;) (Зарегистрировано в Минюсте России 29.01.2021 N 62296) {КонсультантПлюс}">
        <w:r>
          <w:rPr>
            <w:sz w:val="20"/>
            <w:color w:val="0000ff"/>
          </w:rPr>
          <w:t xml:space="preserve">СанПиН 1.2.3685-21</w:t>
        </w:r>
      </w:hyperlink>
      <w:r>
        <w:rPr>
          <w:sz w:val="20"/>
        </w:rPr>
        <w:t xml:space="preserve"> "Гигиенические нормативы и требования к обеспечению безопасности и (или) безвредности для человека факторов среды обитания", утвержденные постановлением Главного государственного санитарного врача Российской Федерации от 28 января 2021 г. N 2 (зарегистрировано Министерством юстиции Российской Федерации 29 января 2021 г., регистрационный N 62296), с изменениями, внесенными постановлением Главного государственного санитарного врача Российской Федерации от 30 декабря 2022 г. N 24 (зарегистрировано Министерством юстиции Российской Федерации 9 марта 2023 г., регистрационный N 72558), действующие до 1 марта 2027 г.</w:t>
      </w:r>
    </w:p>
    <w:p>
      <w:pPr>
        <w:pStyle w:val="0"/>
        <w:jc w:val="both"/>
      </w:pPr>
      <w:r>
        <w:rPr>
          <w:sz w:val="20"/>
        </w:rPr>
      </w:r>
    </w:p>
    <w:p>
      <w:pPr>
        <w:pStyle w:val="0"/>
        <w:ind w:firstLine="540"/>
        <w:jc w:val="both"/>
      </w:pPr>
      <w:r>
        <w:rPr>
          <w:sz w:val="20"/>
        </w:rPr>
        <w:t xml:space="preserve">4.2. Требования к условиям реализации образовательной программы включают в себя общесистемные требования, требования к материально-техническому, учебно-методическому обеспечению, к организации воспитания обучающихся, кадровым и финансовым условиям реализации образовательной программы.</w:t>
      </w:r>
    </w:p>
    <w:p>
      <w:pPr>
        <w:pStyle w:val="0"/>
        <w:jc w:val="both"/>
      </w:pPr>
      <w:r>
        <w:rPr>
          <w:sz w:val="20"/>
        </w:rPr>
      </w:r>
    </w:p>
    <w:p>
      <w:pPr>
        <w:pStyle w:val="2"/>
        <w:outlineLvl w:val="2"/>
        <w:ind w:firstLine="540"/>
        <w:jc w:val="both"/>
      </w:pPr>
      <w:r>
        <w:rPr>
          <w:sz w:val="20"/>
        </w:rPr>
        <w:t xml:space="preserve">4.3. Общесистемные требования к условиям реализации образовательной программы: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а) образовательная организация должна располагать на праве собственности или ином законном основании материально-технической базой, обеспечивающей проведение всех видов учебной деятельности обучающихся, включая проведение демонстрационного экзамена, предусмотренных учебным планом, с учетом ПОП;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б) в случае реализации образовательной программы с использованием сетевой формы требования к реализации образовательной программы должны обеспечиваться совокупностью ресурсов материально-технического и учебно-методического обеспечения, предоставляемого организациями, участвующими в реализации образовательной программы с использованием сетевой формы.</w:t>
      </w:r>
    </w:p>
    <w:p>
      <w:pPr>
        <w:pStyle w:val="0"/>
        <w:jc w:val="both"/>
      </w:pPr>
      <w:r>
        <w:rPr>
          <w:sz w:val="20"/>
        </w:rPr>
      </w:r>
    </w:p>
    <w:p>
      <w:pPr>
        <w:pStyle w:val="2"/>
        <w:outlineLvl w:val="2"/>
        <w:ind w:firstLine="540"/>
        <w:jc w:val="both"/>
      </w:pPr>
      <w:r>
        <w:rPr>
          <w:sz w:val="20"/>
        </w:rPr>
        <w:t xml:space="preserve">4.4. Требования к материально-техническому и учебно-методическому обеспечению реализации образовательной программы: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а) специальные помещения должны представлять собой учебные аудитории, лаборатории, мастерские, оснащенные оборудованием, техническими средствами обучения для проведения занятий всех видов, предусмотренных образовательной программой, в том числе групповых и индивидуальных консультаций, а также для проведения текущего контроля, промежуточной и государственной итоговой аттестации, помещения для организации самостоятельной и воспитательной работы;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б) все виды учебной деятельности обучающихся, предусмотренные учебным планом, включая промежуточную и государственную итоговую аттестацию, должны быть обеспечены расходными материалами;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в) помещения для организации самостоятельной и воспитательной работы должны быть оснащены компьютерной техникой с возможностью подключения к информационно-телекоммуникационной сети "Интернет" и обеспечением доступа в электронную информационно-образовательную среду образовательной организации (при наличии);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г) допускается замена оборудования его виртуальными аналогами;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д) образовательная организация должна быть обеспечена необходимым комплектом лицензионного и свободно распространяемого программного обеспечения, в том числе отечественного производства;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е) при использовании в образовательном процессе печатных изданий библиотечный фонд должен быть укомплектован печатными изданиями из расчета не менее 0,25 экземпляра каждого из изданий, указанных в рабочих программах дисциплин (модулей), практик, на одного обучающегося из числа лиц, одновременно осваивающих соответствующую дисциплину (модуль), проходящих соответствующую практику;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ж) в качестве основной литературы образовательная организация использует учебники, учебные пособия, предусмотренные ПОП;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з) в случае наличия электронной информационно-образовательной среды допускается замена печатного библиотечного фонда с предоставлением права одновременного доступа не менее 25 процентов обучающихся к цифровой (электронной) библиотеке;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и) обучающимся должен быть обеспечен доступ, в том числе в случае применения электронного обучения, дистанционных образовательных технологий, к современным профессиональным базам данных и информационным справочным системам, состав которых определяется в рабочих программах дисциплин (модулей) и подлежит обновлению (при необходимости);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к) обучающиеся инвалиды и лица с ограниченными возможностями здоровья должны быть обеспечены печатными и (или) электронными учебными изданиями, адаптированными при необходимости для обучения указанных обучающихся;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л) образовательная программа должна обеспечиваться учебно-методической документацией по всем учебным дисциплинам (модулям), видам практики, видам государственной итоговой аттестации;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м) рекомендации по иному материально-техническому и учебно-методическому обеспечению реализации образовательной программы определяются ПОП.</w:t>
      </w:r>
    </w:p>
    <w:p>
      <w:pPr>
        <w:pStyle w:val="0"/>
        <w:jc w:val="both"/>
      </w:pPr>
      <w:r>
        <w:rPr>
          <w:sz w:val="20"/>
        </w:rPr>
      </w:r>
    </w:p>
    <w:p>
      <w:pPr>
        <w:pStyle w:val="2"/>
        <w:outlineLvl w:val="2"/>
        <w:ind w:firstLine="540"/>
        <w:jc w:val="both"/>
      </w:pPr>
      <w:r>
        <w:rPr>
          <w:sz w:val="20"/>
        </w:rPr>
        <w:t xml:space="preserve">4.5. Требования к кадровым условиям реализации образовательной программы: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а) реализация образовательной программы обеспечивается педагогическими работниками образовательной организации, а также лицами, привлекаемыми к реализации образовательной программы на иных условиях, в том числе из числа руководителей и работников организаций, направление деятельности которых соответствует области профессиональной деятельности, указанной в </w:t>
      </w:r>
      <w:hyperlink w:history="0" w:anchor="P77" w:tooltip="1.13. Область профессиональной деятельности, в которой выпускники, освоившие образовательную программу, могут осуществлять профессиональную деятельность: 40 Сквозные виды профессиональной деятельности в промышленности &lt;5&gt;.">
        <w:r>
          <w:rPr>
            <w:sz w:val="20"/>
            <w:color w:val="0000ff"/>
          </w:rPr>
          <w:t xml:space="preserve">пункте 1.13</w:t>
        </w:r>
      </w:hyperlink>
      <w:r>
        <w:rPr>
          <w:sz w:val="20"/>
        </w:rPr>
        <w:t xml:space="preserve"> ФГОС СПО (имеющих стаж работы в данной профессиональной области не менее трех лет);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б) квалификация педагогических работников образовательной организации должна отвечать квалификационным требованиям, указанным в квалификационных справочниках и (или) профессиональных стандартах (при наличии);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в) педагогические работники, привлекаемые к реализации образовательной программы, должны получать дополнительное профессиональное образование по программам повышения квалификации не реже одного раза в три года с учетом расширения спектра профессиональных компетенций, в том числе в форме стажировки в организациях, направление деятельности которых соответствует области профессиональной деятельности, указанной в </w:t>
      </w:r>
      <w:hyperlink w:history="0" w:anchor="P77" w:tooltip="1.13. Область профессиональной деятельности, в которой выпускники, освоившие образовательную программу, могут осуществлять профессиональную деятельность: 40 Сквозные виды профессиональной деятельности в промышленности &lt;5&gt;.">
        <w:r>
          <w:rPr>
            <w:sz w:val="20"/>
            <w:color w:val="0000ff"/>
          </w:rPr>
          <w:t xml:space="preserve">пункте 1.13</w:t>
        </w:r>
      </w:hyperlink>
      <w:r>
        <w:rPr>
          <w:sz w:val="20"/>
        </w:rPr>
        <w:t xml:space="preserve"> ФГОС СПО, а также в других областях профессиональной деятельности и (или) сферах профессиональной деятельности при условии соответствия полученных компетенций требованиям к квалификации педагогического работника;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г) доля педагогических работников (в приведенных к целочисленным значениям ставок), имеющих опыт деятельности не менее трех лет в организациях, направление деятельности которых соответствует области профессиональной деятельности, указанной в </w:t>
      </w:r>
      <w:hyperlink w:history="0" w:anchor="P77" w:tooltip="1.13. Область профессиональной деятельности, в которой выпускники, освоившие образовательную программу, могут осуществлять профессиональную деятельность: 40 Сквозные виды профессиональной деятельности в промышленности &lt;5&gt;.">
        <w:r>
          <w:rPr>
            <w:sz w:val="20"/>
            <w:color w:val="0000ff"/>
          </w:rPr>
          <w:t xml:space="preserve">пункте 1.13</w:t>
        </w:r>
      </w:hyperlink>
      <w:r>
        <w:rPr>
          <w:sz w:val="20"/>
        </w:rPr>
        <w:t xml:space="preserve"> ФГОС СПО, в общем числе педагогических работников, обеспечивающих освоение обучающимися профессиональных модулей образовательной программы, должна быть не менее 25 процентов.</w:t>
      </w:r>
    </w:p>
    <w:p>
      <w:pPr>
        <w:pStyle w:val="0"/>
        <w:jc w:val="both"/>
      </w:pPr>
      <w:r>
        <w:rPr>
          <w:sz w:val="20"/>
        </w:rPr>
      </w:r>
    </w:p>
    <w:p>
      <w:pPr>
        <w:pStyle w:val="2"/>
        <w:outlineLvl w:val="2"/>
        <w:ind w:firstLine="540"/>
        <w:jc w:val="both"/>
      </w:pPr>
      <w:r>
        <w:rPr>
          <w:sz w:val="20"/>
        </w:rPr>
        <w:t xml:space="preserve">4.6. Требование к финансовым условиям реализации образовательной программы: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финансовое обеспечение реализации образовательной программы должно осуществляться в объеме не ниже определенного в соответствии с бюджетным законодательством Российской Федерации &lt;8&gt; и Федеральным </w:t>
      </w:r>
      <w:hyperlink w:history="0" r:id="rId31" w:tooltip="Федеральный закон от 29.12.2012 N 273-ФЗ (ред. от 23.05.2025) &quot;Об образовании в Российской Федерации&quot; {КонсультантПлюс}">
        <w:r>
          <w:rPr>
            <w:sz w:val="20"/>
            <w:color w:val="0000ff"/>
          </w:rPr>
          <w:t xml:space="preserve">законом</w:t>
        </w:r>
      </w:hyperlink>
      <w:r>
        <w:rPr>
          <w:sz w:val="20"/>
        </w:rPr>
        <w:t xml:space="preserve"> от 29 декабря 2012 г. N 273-ФЗ "Об образовании в Российской Федерации".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--------------------------------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&lt;8&gt; Бюджетный </w:t>
      </w:r>
      <w:hyperlink w:history="0" r:id="rId32" w:tooltip="&quot;Бюджетный кодекс Российской Федерации&quot; от 31.07.1998 N 145-ФЗ (ред. от 21.04.2025) (с изм. и доп., вступ. в силу с 01.06.2025) {КонсультантПлюс}">
        <w:r>
          <w:rPr>
            <w:sz w:val="20"/>
            <w:color w:val="0000ff"/>
          </w:rPr>
          <w:t xml:space="preserve">кодекс</w:t>
        </w:r>
      </w:hyperlink>
      <w:r>
        <w:rPr>
          <w:sz w:val="20"/>
        </w:rPr>
        <w:t xml:space="preserve"> Российской Федерации.</w:t>
      </w:r>
    </w:p>
    <w:p>
      <w:pPr>
        <w:pStyle w:val="0"/>
        <w:jc w:val="both"/>
      </w:pPr>
      <w:r>
        <w:rPr>
          <w:sz w:val="20"/>
        </w:rPr>
      </w:r>
    </w:p>
    <w:p>
      <w:pPr>
        <w:pStyle w:val="2"/>
        <w:outlineLvl w:val="2"/>
        <w:ind w:firstLine="540"/>
        <w:jc w:val="both"/>
      </w:pPr>
      <w:r>
        <w:rPr>
          <w:sz w:val="20"/>
        </w:rPr>
        <w:t xml:space="preserve">4.7. Требования к применяемым механизмам оценки качества образовательной программы: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а) качество образовательной программы определяется в рамках системы внутренней оценки, а также системы внешней оценки на добровольной основе;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б) в целях совершенствования образовательной программы образовательная организация при проведении регулярной внутренней оценки качества образовательной программы привлекает работодателей и их объединения, иных юридических и (или) физических лиц, включая педагогических работников образовательной организации;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в) внешняя оценка качества образовательной программы может осуществляться в рамках профессионально-общественной аккредитации, проводимой работодателями, их объединениями, а также уполномоченными ими организациями в целях признания качества и уровня подготовки выпускников, отвечающих требованиям профессиональных стандартов, требованиям рынка труда к специалистам соответствующего профиля.</w:t>
      </w:r>
    </w:p>
    <w:p>
      <w:pPr>
        <w:pStyle w:val="0"/>
        <w:jc w:val="both"/>
      </w:pPr>
      <w:r>
        <w:rPr>
          <w:sz w:val="20"/>
        </w:rPr>
      </w:r>
    </w:p>
    <w:p>
      <w:pPr>
        <w:pStyle w:val="0"/>
        <w:jc w:val="both"/>
      </w:pPr>
      <w:r>
        <w:rPr>
          <w:sz w:val="20"/>
        </w:rPr>
      </w:r>
    </w:p>
    <w:p>
      <w:pPr>
        <w:pStyle w:val="0"/>
        <w:jc w:val="both"/>
        <w:pBdr>
          <w:bottom w:val="single" w:sz="6" w:space="0" w:color="auto"/>
        </w:pBdr>
        <w:spacing w:before="100" w:after="100"/>
        <w:rPr>
          <w:sz w:val="2"/>
          <w:szCs w:val="2"/>
        </w:rPr>
      </w:pPr>
    </w:p>
    <w:sectPr>
      <w:headerReference w:type="default" r:id="rId5"/>
      <w:headerReference w:type="first" r:id="rId5"/>
      <w:footerReference w:type="default" r:id="rId6"/>
      <w:footerReference w:type="first" r:id="rId6"/>
      <w:pgSz w:w="11906" w:h="16838"/>
      <w:pgMar w:top="1440" w:right="566" w:bottom="1440" w:left="1133" w:header="0" w:footer="0" w:gutter="0"/>
      <w:titlePg/>
    </w:sectPr>
  </w:body>
</w:document>
</file>

<file path=word/footer1.xml><?xml version="1.0" encoding="utf-8"?>
<w:ftr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i="http://schemas.microsoft.com/office/word/2010/wordprocessingInk" xmlns:wne="http://schemas.microsoft.com/office/word/2006/wordml" mc:Ignorable="w14 w15 w16se wne wp14">
  <w:p>
    <w:pPr>
      <w:pBdr>
        <w:bottom w:val="single" w:sz="12" w:space="0" w:color="auto"/>
      </w:pBdr>
      <w:rPr>
        <w:sz w:val="2"/>
        <w:szCs w:val="2"/>
      </w:rPr>
    </w:pPr>
  </w:p>
  <w:tbl>
    <w:tblPr>
      <w:tblW w:w="5000" w:type="pct"/>
      <w:tblInd w:w="0" w:type="dxa"/>
      <w:tblCellMar>
        <w:left w:w="40" w:type="dxa"/>
        <w:right w:w="40" w:type="dxa"/>
      </w:tblCellMar>
      <w:tblLook w:firstRow="0" w:lastRow="0" w:firstColumn="0" w:lastColumn="0" w:noHBand="0" w:noVBand="0"/>
    </w:tblPr>
    <w:tblGrid>
      <w:gridCol w:w="1"/>
      <w:gridCol w:w="1"/>
      <w:gridCol w:w="1"/>
    </w:tblGrid>
    <w:tr>
      <w:trPr>
        <w:trHeight w:hRule="exact" w:val="1663"/>
      </w:trPr>
      <w:tc>
        <w:tcPr>
          <w:tcW w:w="1650" w:type="pct"/>
          <w:vAlign w:val="center"/>
        </w:tcPr>
        <w:p>
          <w:r>
            <w:rPr>
              <w:rFonts w:ascii="Tahoma" w:hAnsi="Tahoma" w:cs="Tahoma"/>
              <w:b/>
              <w:color w:val="f58220"/>
              <w:sz w:val="28"/>
              <w:szCs w:val="28"/>
              <w:noProof/>
            </w:rPr>
            <w:t>КонсультантПлюс</w:t>
          </w:r>
          <w:r>
            <w:rPr>
              <w:rFonts w:ascii="Tahoma" w:hAnsi="Tahoma" w:cs="Tahoma"/>
              <w:b/>
              <w:sz w:val="16"/>
              <w:szCs w:val="16"/>
              <w:noProof/>
            </w:rPr>
            <w:br/>
            <w:t>надежная правовая поддержка</w:t>
          </w:r>
        </w:p>
      </w:tc>
      <w:tc>
        <w:tcPr>
          <w:tcW w:w="1700" w:type="pct"/>
          <w:vAlign w:val="center"/>
        </w:tcPr>
        <w:p>
          <w:pPr>
            <w:jc w:val="center"/>
          </w:pPr>
          <w:hyperlink r:id="rId1" w:history="0">
            <w:r>
              <w:rPr>
                <w:rFonts w:ascii="Tahoma" w:hAnsi="Tahoma" w:cs="Tahoma"/>
                <w:b/>
                <w:color w:val="0000FF"/>
              </w:rPr>
              <w:t>www.consultant.ru</w:t>
            </w:r>
          </w:hyperlink>
        </w:p>
      </w:tc>
      <w:tc>
        <w:tcPr>
          <w:tcW w:w="1650" w:type="pct"/>
          <w:vAlign w:val="center"/>
        </w:tcPr>
        <w:p>
          <w:pPr>
            <w:jc w:val="end"/>
          </w:pPr>
          <w:r>
            <w:rPr>
              <w:rFonts w:ascii="Tahoma" w:hAnsi="Tahoma" w:cs="Tahoma"/>
            </w:rPr>
            <w:t xml:space="preserve">Страница </w:t>
          </w:r>
          <w:r>
            <w:fldChar w:fldCharType="begin"/>
          </w:r>
          <w:r>
            <w:rPr>
              <w:rFonts w:ascii="Tahoma" w:hAnsi="Tahoma" w:cs="Tahoma"/>
            </w:rPr>
            <w:instrText>PAGE</w:instrText>
          </w:r>
          <w:r>
            <w:fldChar w:fldCharType="separate"/>
          </w:r>
          <w:r>
            <w:rPr>
              <w:rFonts w:ascii="Tahoma" w:hAnsi="Tahoma" w:cs="Tahoma"/>
              <w:noProof/>
            </w:rPr>
            <w:t>5</w:t>
          </w:r>
          <w:r>
            <w:fldChar w:fldCharType="end"/>
          </w:r>
          <w:r>
            <w:rPr>
              <w:rFonts w:ascii="Tahoma" w:hAnsi="Tahoma" w:cs="Tahoma"/>
            </w:rPr>
            <w:t xml:space="preserve"> из </w:t>
          </w:r>
          <w:r>
            <w:fldChar w:fldCharType="begin"/>
          </w:r>
          <w:r>
            <w:rPr>
              <w:rFonts w:ascii="Tahoma" w:hAnsi="Tahoma" w:cs="Tahoma"/>
            </w:rPr>
            <w:instrText>NUMPAGES</w:instrText>
          </w:r>
          <w:r>
            <w:fldChar w:fldCharType="separate"/>
          </w:r>
          <w:r>
            <w:rPr>
              <w:rFonts w:ascii="Tahoma" w:hAnsi="Tahoma" w:cs="Tahoma"/>
              <w:noProof/>
            </w:rPr>
            <w:t>5</w:t>
          </w:r>
          <w:r>
            <w:fldChar w:fldCharType="end"/>
          </w:r>
        </w:p>
      </w:tc>
    </w:tr>
  </w:tbl>
  <w:p>
    <w:r>
      <w:rPr>
        <w:sz w:val="2"/>
        <w:szCs w:val="2"/>
      </w:rPr>
      <w:t>1</w:t>
    </w:r>
  </w:p>
</w:ftr>
</file>

<file path=word/header1.xml><?xml version="1.0" encoding="utf-8"?>
<w:hdr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i="http://schemas.microsoft.com/office/word/2010/wordprocessingInk" xmlns:wne="http://schemas.microsoft.com/office/word/2006/wordml" mc:Ignorable="w14 w15 w16se wne wp14">
  <w:tbl>
    <w:tblPr>
      <w:tblW w:w="5000" w:type="pct"/>
      <w:tblInd w:w="0" w:type="dxa"/>
      <w:tblLayout w:type="fixed"/>
      <w:tblCellMar>
        <w:left w:w="40" w:type="dxa"/>
        <w:right w:w="40" w:type="dxa"/>
      </w:tblCellMar>
    </w:tblPr>
    <w:tblGrid>
      <w:gridCol w:w="1"/>
      <w:gridCol w:w="1"/>
    </w:tblGrid>
    <w:tr>
      <w:trPr>
        <w:trHeight w:hRule="exact" w:val="1683"/>
      </w:trPr>
      <w:tc>
        <w:tcPr>
          <w:tcW w:w="2700" w:type="pct"/>
          <w:vAlign w:val="center"/>
        </w:tcPr>
        <w:p>
          <w:pPr>
            <w:rPr>
              <w:rFonts w:ascii="Tahoma" w:hAnsi="Tahoma" w:cs="Tahoma"/>
            </w:rPr>
          </w:pPr>
          <w:r>
            <w:rPr>
              <w:rFonts w:ascii="Tahoma" w:hAnsi="Tahoma" w:cs="Tahoma"/>
              <w:sz w:val="16"/>
              <w:szCs w:val="16"/>
            </w:rPr>
            <w:t>Приказ Минпросвещения России от 15.11.2023 N 863</w:t>
            <w:br/>
            <w:t>(ред. от 27.03.2025)</w:t>
            <w:br/>
            <w:t>"Об утверждении федерального государственного обра...</w:t>
          </w:r>
        </w:p>
      </w:tc>
      <w:tc>
        <w:tcPr>
          <w:tcW w:w="2300" w:type="pct"/>
          <w:vAlign w:val="center"/>
        </w:tcPr>
        <w:p>
          <w:pPr>
            <w:jc w:val="end"/>
            <w:rPr>
              <w:rFonts w:ascii="Tahoma" w:hAnsi="Tahoma" w:cs="Tahoma"/>
            </w:rPr>
          </w:pPr>
          <w:r>
            <w:rPr>
              <w:rFonts w:ascii="Tahoma" w:hAnsi="Tahoma" w:cs="Tahoma"/>
              <w:sz w:val="18"/>
              <w:szCs w:val="18"/>
              <w:noProof/>
            </w:rPr>
            <w:t xml:space="preserve">Документ предоставлен </w:t>
          </w:r>
          <w:hyperlink r:id="rId1" w:history="0" w:tooltip="КонсультантПлюс - надежная правовая система">
            <w:r>
              <w:rPr>
                <w:rFonts w:ascii="Tahoma" w:hAnsi="Tahoma" w:cs="Tahoma"/>
                <w:color w:val="0000FF"/>
                <w:sz w:val="18"/>
                <w:szCs w:val="18"/>
                <w:noProof/>
              </w:rPr>
              <w:t>КонсультантПлюс</w:t>
            </w:r>
          </w:hyperlink>
          <w:r>
            <w:rPr>
              <w:rFonts w:ascii="Tahoma" w:hAnsi="Tahoma" w:cs="Tahoma"/>
              <w:sz w:val="18"/>
              <w:szCs w:val="18"/>
            </w:rPr>
            <w:br/>
          </w:r>
          <w:r>
            <w:rPr>
              <w:rFonts w:ascii="Tahoma" w:hAnsi="Tahoma" w:cs="Tahoma"/>
              <w:sz w:val="16"/>
              <w:szCs w:val="16"/>
            </w:rPr>
            <w:t>Дата сохранения: 24.06.2025</w:t>
          </w:r>
        </w:p>
      </w:tc>
    </w:tr>
  </w:tbl>
  <w:p>
    <w:pPr>
      <w:pBdr>
        <w:bottom w:val="single" w:sz="12" w:space="0" w:color="auto"/>
      </w:pBdr>
      <w:rPr>
        <w:sz w:val="2"/>
        <w:szCs w:val="2"/>
      </w:rPr>
    </w:pPr>
  </w:p>
  <w:p/>
</w:hdr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pPrDefault>
      <w:pPr>
        <w:spacing w:before="0" w:after="0" w:line="240" w:lineRule="auto"/>
      </w:pPr>
    </w:pPrDefault>
  </w:docDefaults>
  <w:style w:type="paragraph" w:default="1" w:customStyle="1" w:styleId="0">
    <w:name w:val="ConsPlusNormal"/>
    <w:pPr>
      <w:widowControl w:val="0"/>
      <w:autoSpaceDE w:val="0"/>
      <w:autoSpaceDN w:val="0"/>
    </w:pPr>
    <w:rPr>
      <w:rFonts w:ascii="Arial" w:hAnsi="Arial" w:cs="Arial"/>
      <w:sz w:val="20"/>
    </w:rPr>
  </w:style>
  <w:style w:type="paragraph" w:customStyle="1" w:styleId="1">
    <w:name w:val="ConsPlusNonformat"/>
    <w:pPr>
      <w:widowControl w:val="0"/>
      <w:autoSpaceDE w:val="0"/>
      <w:autoSpaceDN w:val="0"/>
    </w:pPr>
    <w:rPr>
      <w:rFonts w:ascii="Courier New" w:hAnsi="Courier New" w:cs="Courier New"/>
      <w:sz w:val="20"/>
    </w:rPr>
  </w:style>
  <w:style w:type="paragraph" w:customStyle="1" w:styleId="2">
    <w:name w:val="ConsPlusTitle"/>
    <w:pPr>
      <w:widowControl w:val="0"/>
      <w:autoSpaceDE w:val="0"/>
      <w:autoSpaceDN w:val="0"/>
    </w:pPr>
    <w:rPr>
      <w:rFonts w:ascii="Arial" w:hAnsi="Arial" w:cs="Arial"/>
      <w:sz w:val="20"/>
      <w:b/>
    </w:rPr>
  </w:style>
  <w:style w:type="paragraph" w:customStyle="1" w:styleId="3">
    <w:name w:val="ConsPlusCell"/>
    <w:pPr>
      <w:widowControl w:val="0"/>
      <w:autoSpaceDE w:val="0"/>
      <w:autoSpaceDN w:val="0"/>
    </w:pPr>
    <w:rPr>
      <w:rFonts w:ascii="Courier New" w:hAnsi="Courier New" w:cs="Courier New"/>
      <w:sz w:val="20"/>
    </w:rPr>
  </w:style>
  <w:style w:type="paragraph" w:customStyle="1" w:styleId="4">
    <w:name w:val="ConsPlusDocList"/>
    <w:pPr>
      <w:widowControl w:val="0"/>
      <w:autoSpaceDE w:val="0"/>
      <w:autoSpaceDN w:val="0"/>
    </w:pPr>
    <w:rPr>
      <w:rFonts w:ascii="Courier New" w:hAnsi="Courier New" w:cs="Courier New"/>
      <w:sz w:val="20"/>
    </w:rPr>
  </w:style>
  <w:style w:type="paragraph" w:customStyle="1" w:styleId="5">
    <w:name w:val="ConsPlusTitlePage"/>
    <w:pPr>
      <w:widowControl w:val="0"/>
      <w:autoSpaceDE w:val="0"/>
      <w:autoSpaceDN w:val="0"/>
    </w:pPr>
    <w:rPr>
      <w:rFonts w:ascii="Tahoma" w:hAnsi="Tahoma" w:cs="Tahoma"/>
      <w:sz w:val="20"/>
    </w:rPr>
  </w:style>
  <w:style w:type="paragraph" w:customStyle="1" w:styleId="6">
    <w:name w:val="ConsPlusJurTerm"/>
    <w:pPr>
      <w:widowControl w:val="0"/>
      <w:autoSpaceDE w:val="0"/>
      <w:autoSpaceDN w:val="0"/>
    </w:pPr>
    <w:rPr>
      <w:rFonts w:ascii="Tahoma" w:hAnsi="Tahoma" w:cs="Tahoma"/>
      <w:sz w:val="26"/>
    </w:rPr>
  </w:style>
  <w:style w:type="paragraph" w:customStyle="1" w:styleId="7">
    <w:name w:val="ConsPlusTextList"/>
    <w:pPr>
      <w:widowControl w:val="0"/>
      <w:autoSpaceDE w:val="0"/>
      <w:autoSpaceDN w:val="0"/>
    </w:pPr>
    <w:rPr>
      <w:rFonts w:ascii="Arial" w:hAnsi="Arial" w:cs="Arial"/>
      <w:sz w:val="20"/>
    </w:rPr>
  </w:style>
  <w:style w:type="paragraph" w:customStyle="1" w:styleId="8">
    <w:name w:val="ConsPlusTextList"/>
    <w:pPr>
      <w:widowControl w:val="0"/>
      <w:autoSpaceDE w:val="0"/>
      <w:autoSpaceDN w:val="0"/>
    </w:pPr>
    <w:rPr>
      <w:rFonts w:ascii="Arial" w:hAnsi="Arial" w:cs="Arial"/>
      <w:sz w:val="20"/>
    </w:rPr>
  </w:style>
  <w:style w:type="paragraph" w:default="1" w:customStyle="1" w:styleId="0">
    <w:name w:val="ConsPlusNormal"/>
    <w:pPr>
      <w:widowControl w:val="0"/>
      <w:autoSpaceDE w:val="0"/>
      <w:autoSpaceDN w:val="0"/>
    </w:pPr>
    <w:rPr>
      <w:rFonts w:ascii="Arial" w:hAnsi="Arial" w:cs="Arial"/>
      <w:sz w:val="20"/>
    </w:rPr>
  </w:style>
  <w:style w:type="paragraph" w:customStyle="1" w:styleId="1">
    <w:name w:val="ConsPlusNonformat"/>
    <w:pPr>
      <w:widowControl w:val="0"/>
      <w:autoSpaceDE w:val="0"/>
      <w:autoSpaceDN w:val="0"/>
    </w:pPr>
    <w:rPr>
      <w:rFonts w:ascii="Courier New" w:hAnsi="Courier New" w:cs="Courier New"/>
      <w:sz w:val="20"/>
    </w:rPr>
  </w:style>
  <w:style w:type="paragraph" w:customStyle="1" w:styleId="2">
    <w:name w:val="ConsPlusTitle"/>
    <w:pPr>
      <w:widowControl w:val="0"/>
      <w:autoSpaceDE w:val="0"/>
      <w:autoSpaceDN w:val="0"/>
    </w:pPr>
    <w:rPr>
      <w:rFonts w:ascii="Arial" w:hAnsi="Arial" w:cs="Arial"/>
      <w:sz w:val="20"/>
      <w:b/>
    </w:rPr>
  </w:style>
  <w:style w:type="paragraph" w:customStyle="1" w:styleId="3">
    <w:name w:val="ConsPlusCell"/>
    <w:pPr>
      <w:widowControl w:val="0"/>
      <w:autoSpaceDE w:val="0"/>
      <w:autoSpaceDN w:val="0"/>
    </w:pPr>
    <w:rPr>
      <w:rFonts w:ascii="Courier New" w:hAnsi="Courier New" w:cs="Courier New"/>
      <w:sz w:val="20"/>
    </w:rPr>
  </w:style>
  <w:style w:type="paragraph" w:customStyle="1" w:styleId="4">
    <w:name w:val="ConsPlusDocList"/>
    <w:pPr>
      <w:widowControl w:val="0"/>
      <w:autoSpaceDE w:val="0"/>
      <w:autoSpaceDN w:val="0"/>
    </w:pPr>
    <w:rPr>
      <w:rFonts w:ascii="Courier New" w:hAnsi="Courier New" w:cs="Courier New"/>
      <w:sz w:val="20"/>
    </w:rPr>
  </w:style>
  <w:style w:type="paragraph" w:customStyle="1" w:styleId="5">
    <w:name w:val="ConsPlusTitlePage"/>
    <w:pPr>
      <w:widowControl w:val="0"/>
      <w:autoSpaceDE w:val="0"/>
      <w:autoSpaceDN w:val="0"/>
    </w:pPr>
    <w:rPr>
      <w:rFonts w:ascii="Tahoma" w:hAnsi="Tahoma" w:cs="Tahoma"/>
      <w:sz w:val="20"/>
    </w:rPr>
  </w:style>
  <w:style w:type="paragraph" w:customStyle="1" w:styleId="6">
    <w:name w:val="ConsPlusJurTerm"/>
    <w:pPr>
      <w:widowControl w:val="0"/>
      <w:autoSpaceDE w:val="0"/>
      <w:autoSpaceDN w:val="0"/>
    </w:pPr>
    <w:rPr>
      <w:rFonts w:ascii="Tahoma" w:hAnsi="Tahoma" w:cs="Tahoma"/>
      <w:sz w:val="26"/>
    </w:rPr>
  </w:style>
  <w:style w:type="paragraph" w:customStyle="1" w:styleId="7">
    <w:name w:val="ConsPlusTextList"/>
    <w:pPr>
      <w:widowControl w:val="0"/>
      <w:autoSpaceDE w:val="0"/>
      <w:autoSpaceDN w:val="0"/>
    </w:pPr>
    <w:rPr>
      <w:rFonts w:ascii="Arial" w:hAnsi="Arial" w:cs="Arial"/>
      <w:sz w:val="20"/>
    </w:rPr>
  </w:style>
  <w:style w:type="paragraph" w:customStyle="1" w:styleId="8">
    <w:name w:val="ConsPlusTextList"/>
    <w:pPr>
      <w:widowControl w:val="0"/>
      <w:autoSpaceDE w:val="0"/>
      <w:autoSpaceDN w:val="0"/>
    </w:pPr>
    <w:rPr>
      <w:rFonts w:ascii="Arial" w:hAnsi="Arial" w:cs="Arial"/>
      <w:sz w:val="20"/>
    </w:rPr>
  </w:style>
</w:styles>
</file>

<file path=word/_rels/document.xml.rels>&#65279;<?xml version="1.0" encoding="UTF-8" standalone="yes"?>
<Relationships xmlns="http://schemas.openxmlformats.org/package/2006/relationships">
	<Relationship Id="rId1" Type="http://schemas.openxmlformats.org/officeDocument/2006/relationships/styles" Target="styles.xml"/>
	<Relationship Id="rId2" Type="http://schemas.openxmlformats.org/officeDocument/2006/relationships/image" Target="media/image1.png"/>
	<Relationship Id="rId3" Type="http://schemas.openxmlformats.org/officeDocument/2006/relationships/hyperlink" Target="https://www.consultant.ru" TargetMode = "External"/>
	<Relationship Id="rId4" Type="http://schemas.openxmlformats.org/officeDocument/2006/relationships/hyperlink" Target="https://www.consultant.ru" TargetMode = "External"/>
	<Relationship Id="rId5" Type="http://schemas.openxmlformats.org/officeDocument/2006/relationships/header" Target="header1.xml"/>
	<Relationship Id="rId6" Type="http://schemas.openxmlformats.org/officeDocument/2006/relationships/footer" Target="footer1.xml"/>
	<Relationship Id="rId7" Type="http://schemas.openxmlformats.org/officeDocument/2006/relationships/hyperlink" Target="https://login.consultant.ru/link/?req=doc&amp;base=RZR&amp;n=504361&amp;dst=100444" TargetMode = "External"/>
	<Relationship Id="rId8" Type="http://schemas.openxmlformats.org/officeDocument/2006/relationships/hyperlink" Target="https://login.consultant.ru/link/?req=doc&amp;base=RZR&amp;n=499281&amp;dst=100051" TargetMode = "External"/>
	<Relationship Id="rId9" Type="http://schemas.openxmlformats.org/officeDocument/2006/relationships/hyperlink" Target="https://login.consultant.ru/link/?req=doc&amp;base=RZR&amp;n=481262&amp;dst=100072" TargetMode = "External"/>
	<Relationship Id="rId10" Type="http://schemas.openxmlformats.org/officeDocument/2006/relationships/hyperlink" Target="https://login.consultant.ru/link/?req=doc&amp;base=RZR&amp;n=504657&amp;dst=101529" TargetMode = "External"/>
	<Relationship Id="rId11" Type="http://schemas.openxmlformats.org/officeDocument/2006/relationships/hyperlink" Target="https://login.consultant.ru/link/?req=doc&amp;base=RZR&amp;n=429109&amp;dst=100014" TargetMode = "External"/>
	<Relationship Id="rId12" Type="http://schemas.openxmlformats.org/officeDocument/2006/relationships/hyperlink" Target="https://login.consultant.ru/link/?req=doc&amp;base=RZR&amp;n=504657&amp;dst=354" TargetMode = "External"/>
	<Relationship Id="rId13" Type="http://schemas.openxmlformats.org/officeDocument/2006/relationships/hyperlink" Target="https://login.consultant.ru/link/?req=doc&amp;base=RZR&amp;n=504361&amp;dst=100444" TargetMode = "External"/>
	<Relationship Id="rId14" Type="http://schemas.openxmlformats.org/officeDocument/2006/relationships/hyperlink" Target="https://login.consultant.ru/link/?req=doc&amp;base=RZR&amp;n=504657&amp;dst=101529" TargetMode = "External"/>
	<Relationship Id="rId15" Type="http://schemas.openxmlformats.org/officeDocument/2006/relationships/hyperlink" Target="https://login.consultant.ru/link/?req=doc&amp;base=RZR&amp;n=504657&amp;dst=100562" TargetMode = "External"/>
	<Relationship Id="rId16" Type="http://schemas.openxmlformats.org/officeDocument/2006/relationships/hyperlink" Target="https://login.consultant.ru/link/?req=doc&amp;base=RZR&amp;n=470946&amp;dst=4" TargetMode = "External"/>
	<Relationship Id="rId17" Type="http://schemas.openxmlformats.org/officeDocument/2006/relationships/hyperlink" Target="https://login.consultant.ru/link/?req=doc&amp;base=RZR&amp;n=504361&amp;dst=100445" TargetMode = "External"/>
	<Relationship Id="rId18" Type="http://schemas.openxmlformats.org/officeDocument/2006/relationships/hyperlink" Target="https://login.consultant.ru/link/?req=doc&amp;base=RZR&amp;n=470946&amp;dst=4" TargetMode = "External"/>
	<Relationship Id="rId19" Type="http://schemas.openxmlformats.org/officeDocument/2006/relationships/hyperlink" Target="https://login.consultant.ru/link/?req=doc&amp;base=RZR&amp;n=505886&amp;dst=774" TargetMode = "External"/>
	<Relationship Id="rId20" Type="http://schemas.openxmlformats.org/officeDocument/2006/relationships/hyperlink" Target="https://login.consultant.ru/link/?req=doc&amp;base=RZR&amp;n=505886&amp;dst=100249" TargetMode = "External"/>
	<Relationship Id="rId21" Type="http://schemas.openxmlformats.org/officeDocument/2006/relationships/hyperlink" Target="https://login.consultant.ru/link/?req=doc&amp;base=RZR&amp;n=115476&amp;dst=100008" TargetMode = "External"/>
	<Relationship Id="rId22" Type="http://schemas.openxmlformats.org/officeDocument/2006/relationships/hyperlink" Target="https://login.consultant.ru/link/?req=doc&amp;base=RZR&amp;n=504361&amp;dst=100446" TargetMode = "External"/>
	<Relationship Id="rId23" Type="http://schemas.openxmlformats.org/officeDocument/2006/relationships/hyperlink" Target="https://login.consultant.ru/link/?req=doc&amp;base=RZR&amp;n=214720&amp;dst=100116" TargetMode = "External"/>
	<Relationship Id="rId24" Type="http://schemas.openxmlformats.org/officeDocument/2006/relationships/hyperlink" Target="https://login.consultant.ru/link/?req=doc&amp;base=RZR&amp;n=214720&amp;dst=100047" TargetMode = "External"/>
	<Relationship Id="rId25" Type="http://schemas.openxmlformats.org/officeDocument/2006/relationships/hyperlink" Target="https://login.consultant.ru/link/?req=doc&amp;base=RZR&amp;n=470946&amp;dst=4" TargetMode = "External"/>
	<Relationship Id="rId26" Type="http://schemas.openxmlformats.org/officeDocument/2006/relationships/hyperlink" Target="https://login.consultant.ru/link/?req=doc&amp;base=RZR&amp;n=505886&amp;dst=415" TargetMode = "External"/>
	<Relationship Id="rId27" Type="http://schemas.openxmlformats.org/officeDocument/2006/relationships/hyperlink" Target="https://login.consultant.ru/link/?req=doc&amp;base=RZR&amp;n=484629" TargetMode = "External"/>
	<Relationship Id="rId28" Type="http://schemas.openxmlformats.org/officeDocument/2006/relationships/hyperlink" Target="https://login.consultant.ru/link/?req=doc&amp;base=RZR&amp;n=486034&amp;dst=100047" TargetMode = "External"/>
	<Relationship Id="rId29" Type="http://schemas.openxmlformats.org/officeDocument/2006/relationships/hyperlink" Target="https://login.consultant.ru/link/?req=doc&amp;base=RZR&amp;n=494597&amp;dst=100037" TargetMode = "External"/>
	<Relationship Id="rId30" Type="http://schemas.openxmlformats.org/officeDocument/2006/relationships/hyperlink" Target="https://login.consultant.ru/link/?req=doc&amp;base=RZR&amp;n=441707&amp;dst=100137" TargetMode = "External"/>
	<Relationship Id="rId31" Type="http://schemas.openxmlformats.org/officeDocument/2006/relationships/hyperlink" Target="https://login.consultant.ru/link/?req=doc&amp;base=RZR&amp;n=505886" TargetMode = "External"/>
	<Relationship Id="rId32" Type="http://schemas.openxmlformats.org/officeDocument/2006/relationships/hyperlink" Target="https://login.consultant.ru/link/?req=doc&amp;base=RZR&amp;n=500021" TargetMode = "External"/>
</Relationships>
</file>

<file path=word/_rels/footer1.xml.rels>&#65279;<?xml version="1.0" encoding="UTF-8" standalone="yes"?>
<Relationships xmlns="http://schemas.openxmlformats.org/package/2006/relationships">
	<Relationship Id="rId1" Type="http://schemas.openxmlformats.org/officeDocument/2006/relationships/hyperlink" Target="https://www.consultant.ru" TargetMode = "External"/>
</Relationships>
</file>

<file path=word/_rels/header1.xml.rels>&#65279;<?xml version="1.0" encoding="UTF-8" standalone="yes"?>
<Relationships xmlns="http://schemas.openxmlformats.org/package/2006/relationships">
	<Relationship Id="rId1" Type="http://schemas.openxmlformats.org/officeDocument/2006/relationships/hyperlink" Target="https://www.consultant.ru" TargetMode = "External"/>
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КонсультантПлюс Версия 4025.00.02</Application>
  <Company>КонсультантПлюс Версия 4025.00.02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Приказ Минпросвещения России от 15.11.2023 N 863
(ред. от 27.03.2025)
"Об утверждении федерального государственного образовательного стандарта среднего профессионального образования по профессии 15.01.05 Сварщик (ручной и частично механизированной сварки (наплавки)"
(Зарегистрировано в Минюсте России 15.12.2023 N 76433)</dc:title>
  <dcterms:created xsi:type="dcterms:W3CDTF">2025-06-24T10:27:20Z</dcterms:created>
</cp:coreProperties>
</file>